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182A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</w:p>
    <w:p w14:paraId="60550434">
      <w:pPr>
        <w:framePr w:w="8920" w:wrap="auto" w:vAnchor="margin" w:hAnchor="text" w:x="1740" w:y="2847"/>
        <w:widowControl w:val="0"/>
        <w:autoSpaceDE w:val="0"/>
        <w:autoSpaceDN w:val="0"/>
        <w:spacing w:before="0" w:after="0" w:line="310" w:lineRule="exact"/>
        <w:ind w:left="70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为规范宁化县国有资产电子招投标平台的交易行为，维护</w:t>
      </w:r>
    </w:p>
    <w:p w14:paraId="1458D7D7">
      <w:pPr>
        <w:framePr w:w="8920" w:wrap="auto" w:vAnchor="margin" w:hAnchor="text" w:x="1740" w:y="2847"/>
        <w:widowControl w:val="0"/>
        <w:autoSpaceDE w:val="0"/>
        <w:autoSpaceDN w:val="0"/>
        <w:spacing w:before="328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6"/>
          <w:sz w:val="31"/>
        </w:rPr>
        <w:t>为规范宁化县国有资产电子招投标平台的交易行为，维护交易</w:t>
      </w:r>
    </w:p>
    <w:p w14:paraId="6CC06754">
      <w:pPr>
        <w:framePr w:w="8920" w:wrap="auto" w:vAnchor="margin" w:hAnchor="text" w:x="1740" w:y="2847"/>
        <w:widowControl w:val="0"/>
        <w:autoSpaceDE w:val="0"/>
        <w:autoSpaceDN w:val="0"/>
        <w:spacing w:before="331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秩序，保护各方合法权益，根据国家法律法规等有关贵司能够，</w:t>
      </w:r>
    </w:p>
    <w:p w14:paraId="2FA66ADC">
      <w:pPr>
        <w:framePr w:w="8920" w:wrap="auto" w:vAnchor="margin" w:hAnchor="text" w:x="1740" w:y="2847"/>
        <w:widowControl w:val="0"/>
        <w:autoSpaceDE w:val="0"/>
        <w:autoSpaceDN w:val="0"/>
        <w:spacing w:before="331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制定本须知。供应商、承租人、受让方（以下简称“参与方”）</w:t>
      </w:r>
    </w:p>
    <w:p w14:paraId="2E16A12F">
      <w:pPr>
        <w:framePr w:w="8920" w:wrap="auto" w:vAnchor="margin" w:hAnchor="text" w:x="1740" w:y="2847"/>
        <w:widowControl w:val="0"/>
        <w:autoSpaceDE w:val="0"/>
        <w:autoSpaceDN w:val="0"/>
        <w:spacing w:before="328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6"/>
          <w:sz w:val="31"/>
        </w:rPr>
        <w:t>参与竞价前务必详细阅读平台所发布的所有信息，包括竞价须</w:t>
      </w:r>
    </w:p>
    <w:p w14:paraId="7A910D73">
      <w:pPr>
        <w:framePr w:w="8920" w:wrap="auto" w:vAnchor="margin" w:hAnchor="text" w:x="1740" w:y="2847"/>
        <w:widowControl w:val="0"/>
        <w:autoSpaceDE w:val="0"/>
        <w:autoSpaceDN w:val="0"/>
        <w:spacing w:before="331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知，竞价公告，注意事项等。</w:t>
      </w:r>
    </w:p>
    <w:p w14:paraId="07F1DEA4">
      <w:pPr>
        <w:framePr w:w="2100" w:wrap="auto" w:vAnchor="margin" w:hAnchor="text" w:x="1800" w:y="7127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一、竞价说明</w:t>
      </w:r>
    </w:p>
    <w:p w14:paraId="0FE8E251">
      <w:pPr>
        <w:framePr w:w="8700" w:wrap="auto" w:vAnchor="margin" w:hAnchor="text" w:x="1800" w:y="7727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1、本平台仅提供网上竞价的信息资源展示、在线竞价</w:t>
      </w:r>
    </w:p>
    <w:p w14:paraId="3459E574">
      <w:pPr>
        <w:framePr w:w="8700" w:wrap="auto" w:vAnchor="margin" w:hAnchor="text" w:x="1800" w:y="7727"/>
        <w:widowControl w:val="0"/>
        <w:autoSpaceDE w:val="0"/>
        <w:autoSpaceDN w:val="0"/>
        <w:spacing w:before="314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工具。所有的竞价公告均由采购人、招租人、转让方（以下简</w:t>
      </w:r>
    </w:p>
    <w:p w14:paraId="79679685">
      <w:pPr>
        <w:framePr w:w="8700" w:wrap="auto" w:vAnchor="margin" w:hAnchor="text" w:x="1800" w:y="7727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称“发布人”）自行发布，发布人对其发布的竞价公告的真实</w:t>
      </w:r>
    </w:p>
    <w:p w14:paraId="1B22B259">
      <w:pPr>
        <w:framePr w:w="8700" w:wrap="auto" w:vAnchor="margin" w:hAnchor="text" w:x="1800" w:y="7727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性、准确性、合法性承担责任。参与方对竞价公告内容有疑问</w:t>
      </w:r>
    </w:p>
    <w:p w14:paraId="59C071A9">
      <w:pPr>
        <w:framePr w:w="8700" w:wrap="auto" w:vAnchor="margin" w:hAnchor="text" w:x="1800" w:y="7727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的应自行联系发布人。</w:t>
      </w:r>
    </w:p>
    <w:p w14:paraId="4503DE41">
      <w:pPr>
        <w:framePr w:w="8700" w:wrap="auto" w:vAnchor="margin" w:hAnchor="text" w:x="1800" w:y="1083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2、竞价过程的审核工作（如参与方的资格、报价内容</w:t>
      </w:r>
    </w:p>
    <w:p w14:paraId="0E97BEAC">
      <w:pPr>
        <w:framePr w:w="8700" w:wrap="auto" w:vAnchor="margin" w:hAnchor="text" w:x="1800" w:y="1083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有效性等的审核）、确定成交人、合同签订等由发布人自行组</w:t>
      </w:r>
    </w:p>
    <w:p w14:paraId="2D396CA7">
      <w:pPr>
        <w:framePr w:w="8700" w:wrap="auto" w:vAnchor="margin" w:hAnchor="text" w:x="1800" w:y="1083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织。参与方对上述活动有疑问的，请自行联系发布人。</w:t>
      </w:r>
    </w:p>
    <w:p w14:paraId="6F18843A">
      <w:pPr>
        <w:framePr w:w="8700" w:wrap="auto" w:vAnchor="margin" w:hAnchor="text" w:x="1800" w:y="10830"/>
        <w:widowControl w:val="0"/>
        <w:autoSpaceDE w:val="0"/>
        <w:autoSpaceDN w:val="0"/>
        <w:spacing w:before="326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3、参与方应当根据竞价公告的要求，在规定的时间前，</w:t>
      </w:r>
    </w:p>
    <w:p w14:paraId="03805DD5">
      <w:pPr>
        <w:framePr w:w="8700" w:wrap="auto" w:vAnchor="margin" w:hAnchor="text" w:x="1800" w:y="10830"/>
        <w:widowControl w:val="0"/>
        <w:autoSpaceDE w:val="0"/>
        <w:autoSpaceDN w:val="0"/>
        <w:spacing w:before="314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通过我平台报价系统进行报价并提交相关资料，采用其他方式</w:t>
      </w:r>
    </w:p>
    <w:p w14:paraId="008211F9">
      <w:pPr>
        <w:framePr w:w="8700" w:wrap="auto" w:vAnchor="margin" w:hAnchor="text" w:x="1800" w:y="1083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报价的将不予认可。</w:t>
      </w:r>
    </w:p>
    <w:p w14:paraId="0F28DB1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0" o:spid="_x0000_s1026" o:spt="75" type="#_x0000_t75" style="position:absolute;left:0pt;margin-left:235.05pt;margin-top:71pt;height:23.95pt;width:124.05pt;mso-position-horizontal-relative:page;mso-position-vertical-relative:page;z-index:-251657216;mso-width-relative:page;mso-height-relative:page;" filled="f" coordsize="21600,21600">
            <v:path/>
            <v:fill on="f" focussize="0,0"/>
            <v:stroke/>
            <v:imagedata r:id="rId5" o:title=""/>
            <o:lock v:ext="edit" aspectratio="t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 w14:paraId="0A2264E5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15BA5B53">
      <w:pPr>
        <w:framePr w:w="8700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4、成交人因自身原因无法按报价响应进行履约的，发</w:t>
      </w:r>
    </w:p>
    <w:p w14:paraId="5C74F3A2">
      <w:pPr>
        <w:framePr w:w="8700" w:wrap="auto" w:vAnchor="margin" w:hAnchor="text" w:x="1800" w:y="1455"/>
        <w:widowControl w:val="0"/>
        <w:autoSpaceDE w:val="0"/>
        <w:autoSpaceDN w:val="0"/>
        <w:spacing w:before="266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布人有权追究其违约责任，包括因未按时履约给发布人造成损</w:t>
      </w:r>
    </w:p>
    <w:p w14:paraId="5AD5A2E3">
      <w:pPr>
        <w:framePr w:w="8700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失的赔偿责任。</w:t>
      </w:r>
    </w:p>
    <w:p w14:paraId="6269ACD2">
      <w:pPr>
        <w:framePr w:w="8700" w:wrap="auto" w:vAnchor="margin" w:hAnchor="text" w:x="1800" w:y="327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5、经查实参与方在参与竞价过程中、合同签订、合同</w:t>
      </w:r>
    </w:p>
    <w:p w14:paraId="46AD077D">
      <w:pPr>
        <w:framePr w:w="8700" w:wrap="auto" w:vAnchor="margin" w:hAnchor="text" w:x="1800" w:y="327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履约等环节存在下列失信行为的，平台有权对参与方的违法失</w:t>
      </w:r>
    </w:p>
    <w:p w14:paraId="50F4B169">
      <w:pPr>
        <w:framePr w:w="8700" w:wrap="auto" w:vAnchor="margin" w:hAnchor="text" w:x="1800" w:y="327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信行为进行曝光，禁止其一段时间内参与本平台网上竞价活动</w:t>
      </w:r>
    </w:p>
    <w:p w14:paraId="7CA95C22">
      <w:pPr>
        <w:framePr w:w="8700" w:wrap="auto" w:vAnchor="margin" w:hAnchor="text" w:x="1800" w:y="327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的权限。</w:t>
      </w:r>
    </w:p>
    <w:p w14:paraId="6A453C42">
      <w:pPr>
        <w:framePr w:w="7215" w:wrap="auto" w:vAnchor="margin" w:hAnchor="text" w:x="2441" w:y="5766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（1）成交后无正当理由拒不与发布人签订合同的；</w:t>
      </w:r>
    </w:p>
    <w:p w14:paraId="2382241D">
      <w:pPr>
        <w:framePr w:w="7215" w:wrap="auto" w:vAnchor="margin" w:hAnchor="text" w:x="2441" w:y="5766"/>
        <w:widowControl w:val="0"/>
        <w:autoSpaceDE w:val="0"/>
        <w:autoSpaceDN w:val="0"/>
        <w:spacing w:before="314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（2）未按照竞价活动确定的事项签订合同的；</w:t>
      </w:r>
    </w:p>
    <w:p w14:paraId="7C35B31E">
      <w:pPr>
        <w:framePr w:w="7215" w:wrap="auto" w:vAnchor="margin" w:hAnchor="text" w:x="2441" w:y="5766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（3）未经发布人同意，进行转包或分包的；</w:t>
      </w:r>
    </w:p>
    <w:p w14:paraId="27D72C30">
      <w:pPr>
        <w:framePr w:w="7215" w:wrap="auto" w:vAnchor="margin" w:hAnchor="text" w:x="2441" w:y="5766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（4）提供假冒伪劣产品；</w:t>
      </w:r>
    </w:p>
    <w:p w14:paraId="18E4ACB1">
      <w:pPr>
        <w:framePr w:w="8163" w:wrap="auto" w:vAnchor="margin" w:hAnchor="text" w:x="1800" w:y="825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（5）擅自变更、中止或者终止合同的；</w:t>
      </w:r>
    </w:p>
    <w:p w14:paraId="13FF821B">
      <w:pPr>
        <w:framePr w:w="8163" w:wrap="auto" w:vAnchor="margin" w:hAnchor="text" w:x="1800" w:y="8250"/>
        <w:widowControl w:val="0"/>
        <w:autoSpaceDE w:val="0"/>
        <w:autoSpaceDN w:val="0"/>
        <w:spacing w:before="312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（6）存在政府采购法、招标投标法等法律规定的恶意</w:t>
      </w:r>
    </w:p>
    <w:p w14:paraId="143C367C">
      <w:pPr>
        <w:framePr w:w="8163" w:wrap="auto" w:vAnchor="margin" w:hAnchor="text" w:x="1800" w:y="825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串通行为的；</w:t>
      </w:r>
    </w:p>
    <w:p w14:paraId="46CCF5C2">
      <w:pPr>
        <w:framePr w:w="8321" w:wrap="auto" w:vAnchor="margin" w:hAnchor="text" w:x="1800" w:y="1011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（7）提供虚假失实情况或材料谋取成交的；</w:t>
      </w:r>
    </w:p>
    <w:p w14:paraId="31F8D9B1">
      <w:pPr>
        <w:framePr w:w="8321" w:wrap="auto" w:vAnchor="margin" w:hAnchor="text" w:x="1800" w:y="10110"/>
        <w:widowControl w:val="0"/>
        <w:autoSpaceDE w:val="0"/>
        <w:autoSpaceDN w:val="0"/>
        <w:spacing w:before="326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（8）拒绝有关部门监督检查或者提供虚假情况的；</w:t>
      </w:r>
    </w:p>
    <w:p w14:paraId="5A19454C">
      <w:pPr>
        <w:framePr w:w="8321" w:wrap="auto" w:vAnchor="margin" w:hAnchor="text" w:x="1800" w:y="10110"/>
        <w:widowControl w:val="0"/>
        <w:autoSpaceDE w:val="0"/>
        <w:autoSpaceDN w:val="0"/>
        <w:spacing w:before="314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（9）其他违反相关法律法规的行为；</w:t>
      </w:r>
    </w:p>
    <w:p w14:paraId="0D561C1B">
      <w:pPr>
        <w:framePr w:w="8321" w:wrap="auto" w:vAnchor="margin" w:hAnchor="text" w:x="1800" w:y="10110"/>
        <w:widowControl w:val="0"/>
        <w:autoSpaceDE w:val="0"/>
        <w:autoSpaceDN w:val="0"/>
        <w:spacing w:before="312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参与方存在上述违法失信行为的，发布人有权取消其成</w:t>
      </w:r>
    </w:p>
    <w:p w14:paraId="1E02ED89">
      <w:pPr>
        <w:framePr w:w="8321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交资格。</w:t>
      </w:r>
    </w:p>
    <w:p w14:paraId="17313802">
      <w:pPr>
        <w:framePr w:w="8479" w:wrap="auto" w:vAnchor="margin" w:hAnchor="text" w:x="1800" w:y="1323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6、成交人因自身原因被取消成交资格，发布人可重新</w:t>
      </w:r>
    </w:p>
    <w:p w14:paraId="03E86512">
      <w:pPr>
        <w:framePr w:w="8479" w:wrap="auto" w:vAnchor="margin" w:hAnchor="text" w:x="1800" w:y="1323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7"/>
          <w:sz w:val="31"/>
        </w:rPr>
        <w:t>启动竞价或按竞价结果顺延推选符合要求的参与方作为成交</w:t>
      </w:r>
    </w:p>
    <w:p w14:paraId="19BD06A9">
      <w:pPr>
        <w:framePr w:w="8479" w:wrap="auto" w:vAnchor="margin" w:hAnchor="text" w:x="1800" w:y="1323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人。</w:t>
      </w:r>
    </w:p>
    <w:p w14:paraId="64566FE7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26682022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78AC6031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5F8AC044">
      <w:pPr>
        <w:framePr w:w="7525" w:wrap="auto" w:vAnchor="margin" w:hAnchor="text" w:x="2441" w:y="1455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7、参与方自行承担参与网上竞价活动所涉及的一切费</w:t>
      </w:r>
    </w:p>
    <w:p w14:paraId="6D1C78DD">
      <w:pPr>
        <w:framePr w:w="7525" w:wrap="auto" w:vAnchor="margin" w:hAnchor="text" w:x="2441" w:y="1455"/>
        <w:widowControl w:val="0"/>
        <w:autoSpaceDE w:val="0"/>
        <w:autoSpaceDN w:val="0"/>
        <w:spacing w:before="921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8、发布人有权核验参与竞价的参与方所提交的竞价资</w:t>
      </w:r>
    </w:p>
    <w:p w14:paraId="453F48DF">
      <w:pPr>
        <w:framePr w:w="860" w:wrap="auto" w:vAnchor="margin" w:hAnchor="text" w:x="1699" w:y="2125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用。</w:t>
      </w:r>
    </w:p>
    <w:p w14:paraId="5F971C94">
      <w:pPr>
        <w:framePr w:w="8300" w:wrap="auto" w:vAnchor="margin" w:hAnchor="text" w:x="1800" w:y="327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料的真实有效性，参与方须无条件配合发布人的核验要求。</w:t>
      </w:r>
    </w:p>
    <w:p w14:paraId="6EF9E92E">
      <w:pPr>
        <w:framePr w:w="2100" w:wrap="auto" w:vAnchor="margin" w:hAnchor="text" w:x="1800" w:y="4547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二、报名要求</w:t>
      </w:r>
    </w:p>
    <w:p w14:paraId="727D9AD3">
      <w:pPr>
        <w:framePr w:w="8920" w:wrap="auto" w:vAnchor="margin" w:hAnchor="text" w:x="1800" w:y="513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1、采用资格预审的项目，参与方应先按竞价公告的要</w:t>
      </w:r>
    </w:p>
    <w:p w14:paraId="669A32C8">
      <w:pPr>
        <w:framePr w:w="8920" w:wrap="auto" w:vAnchor="margin" w:hAnchor="text" w:x="1800" w:y="513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1"/>
          <w:sz w:val="31"/>
        </w:rPr>
        <w:t>求上传相应的证明文件,待资格审查通过后，方能获得参与后续</w:t>
      </w:r>
    </w:p>
    <w:p w14:paraId="46607927">
      <w:pPr>
        <w:framePr w:w="8920" w:wrap="auto" w:vAnchor="margin" w:hAnchor="text" w:x="1800" w:y="513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的报价活动。已按要求进行报名的参与方，请及时关注资格审查</w:t>
      </w:r>
    </w:p>
    <w:p w14:paraId="3324E680">
      <w:pPr>
        <w:framePr w:w="8920" w:wrap="auto" w:vAnchor="margin" w:hAnchor="text" w:x="1800" w:y="513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结果通知，在规定时间前提交报价。通过资格审查的参与方，未</w:t>
      </w:r>
    </w:p>
    <w:p w14:paraId="2EBDD938">
      <w:pPr>
        <w:framePr w:w="8920" w:wrap="auto" w:vAnchor="margin" w:hAnchor="text" w:x="1800" w:y="513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按时提交报价导致的后果由参与方自行承担。</w:t>
      </w:r>
    </w:p>
    <w:p w14:paraId="4C1DB738">
      <w:pPr>
        <w:framePr w:w="8168" w:wrap="auto" w:vAnchor="margin" w:hAnchor="text" w:x="1800" w:y="823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2、采用资格后审的项目，资格证明及其他有关证明资</w:t>
      </w:r>
    </w:p>
    <w:p w14:paraId="4A4A0E82">
      <w:pPr>
        <w:framePr w:w="8168" w:wrap="auto" w:vAnchor="margin" w:hAnchor="text" w:x="1800" w:y="823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料应在提交报价时一并提交。</w:t>
      </w:r>
    </w:p>
    <w:p w14:paraId="322CC576">
      <w:pPr>
        <w:framePr w:w="9230" w:wrap="auto" w:vAnchor="margin" w:hAnchor="text" w:x="1800" w:y="947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3、发布人采用邀请竞价的，邀请的信息将发送到受邀</w:t>
      </w:r>
    </w:p>
    <w:p w14:paraId="481910E2">
      <w:pPr>
        <w:framePr w:w="9230" w:wrap="auto" w:vAnchor="margin" w:hAnchor="text" w:x="1800" w:y="947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单位，在我平台注册的账号（有多个账号的，将发送至其中的一</w:t>
      </w:r>
    </w:p>
    <w:p w14:paraId="18F09F34">
      <w:pPr>
        <w:framePr w:w="9230" w:wrap="auto" w:vAnchor="margin" w:hAnchor="text" w:x="1800" w:y="947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10"/>
          <w:sz w:val="31"/>
        </w:rPr>
        <w:t>个账号）。受邀的单位必须通过发布人邀请的特定账号进行报价。</w:t>
      </w:r>
    </w:p>
    <w:p w14:paraId="16824EFC">
      <w:pPr>
        <w:framePr w:w="9230" w:wrap="auto" w:vAnchor="margin" w:hAnchor="text" w:x="1800" w:y="9471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其他未受邀的单位或账号，将无法查看到该项目的竞价信息。</w:t>
      </w:r>
    </w:p>
    <w:p w14:paraId="468D88D4">
      <w:pPr>
        <w:framePr w:w="2100" w:wrap="auto" w:vAnchor="margin" w:hAnchor="text" w:x="1800" w:y="12606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三、报价要求</w:t>
      </w:r>
    </w:p>
    <w:p w14:paraId="31AAFDF0">
      <w:pPr>
        <w:framePr w:w="4425" w:wrap="auto" w:vAnchor="margin" w:hAnchor="text" w:x="2441" w:y="1319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1、采用一次报价方式的项目：</w:t>
      </w:r>
    </w:p>
    <w:p w14:paraId="4FBD1B7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9D4813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2D119B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3CF6DB39">
      <w:pPr>
        <w:framePr w:w="8933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（1）参与方应根据竞价公告要求，在规定的竞价时间</w:t>
      </w:r>
    </w:p>
    <w:p w14:paraId="550ADF2E">
      <w:pPr>
        <w:framePr w:w="8933" w:wrap="auto" w:vAnchor="margin" w:hAnchor="text" w:x="1800" w:y="1455"/>
        <w:widowControl w:val="0"/>
        <w:autoSpaceDE w:val="0"/>
        <w:autoSpaceDN w:val="0"/>
        <w:spacing w:before="266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内对竞价项目进行报价。报价应先按系统的要求进行线上填报，</w:t>
      </w:r>
    </w:p>
    <w:p w14:paraId="394F34DB">
      <w:pPr>
        <w:framePr w:w="8933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根据填报内容，系统将生成报价函，参与方应在线打印，加盖公</w:t>
      </w:r>
    </w:p>
    <w:p w14:paraId="30018E20">
      <w:pPr>
        <w:framePr w:w="8933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章，并上传加盖公章的清晰扫描件。参与方上传报价函扫描件未</w:t>
      </w:r>
    </w:p>
    <w:p w14:paraId="31CF50B4">
      <w:pPr>
        <w:framePr w:w="8933" w:wrap="auto" w:vAnchor="margin" w:hAnchor="text" w:x="1800" w:y="1455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加盖公章的，或内容与系统填报的信息不符的，视为无效报价。</w:t>
      </w:r>
    </w:p>
    <w:p w14:paraId="337F351E">
      <w:pPr>
        <w:framePr w:w="8933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（2）在竞价公告规定的报价截止时间前，参与方可自</w:t>
      </w:r>
    </w:p>
    <w:p w14:paraId="06869954">
      <w:pPr>
        <w:framePr w:w="8933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1"/>
          <w:sz w:val="31"/>
        </w:rPr>
        <w:t>行对已提交的报价文件进行修改或撤回。报价截止时间后，系</w:t>
      </w:r>
    </w:p>
    <w:p w14:paraId="583722AF">
      <w:pPr>
        <w:framePr w:w="8933" w:wrap="auto" w:vAnchor="margin" w:hAnchor="text" w:x="1800" w:y="1455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统不再接受任何对报价文件的修改或撤回动作。</w:t>
      </w:r>
    </w:p>
    <w:p w14:paraId="5E5C868A">
      <w:pPr>
        <w:framePr w:w="4425" w:wrap="auto" w:vAnchor="margin" w:hAnchor="text" w:x="2441" w:y="637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2、采用多次报价方式的项目：</w:t>
      </w:r>
    </w:p>
    <w:p w14:paraId="128798E8">
      <w:pPr>
        <w:framePr w:w="5355" w:wrap="auto" w:vAnchor="margin" w:hAnchor="text" w:x="2441" w:y="699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（1）在系统规定的报价期限内报价；</w:t>
      </w:r>
    </w:p>
    <w:p w14:paraId="532AD7B0">
      <w:pPr>
        <w:framePr w:w="8920" w:wrap="auto" w:vAnchor="margin" w:hAnchor="text" w:x="1800" w:y="761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（2）报价开始后，系统以起始价开始竞价，参与方可</w:t>
      </w:r>
    </w:p>
    <w:p w14:paraId="52030671">
      <w:pPr>
        <w:framePr w:w="8920" w:wrap="auto" w:vAnchor="margin" w:hAnchor="text" w:x="1800" w:y="76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以起始价报价；也可以增价方式报价，增价幅度应当符合每次报</w:t>
      </w:r>
    </w:p>
    <w:p w14:paraId="577FABA7">
      <w:pPr>
        <w:framePr w:w="8920" w:wrap="auto" w:vAnchor="margin" w:hAnchor="text" w:x="1800" w:y="76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价增价幅度为当前最高报价递增一个加价幅度或其整倍数；</w:t>
      </w:r>
    </w:p>
    <w:p w14:paraId="665BBA28">
      <w:pPr>
        <w:framePr w:w="8163" w:wrap="auto" w:vAnchor="margin" w:hAnchor="text" w:x="1800" w:y="9486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（3）在报价期间，同一竞买人可多次报价；</w:t>
      </w:r>
    </w:p>
    <w:p w14:paraId="1679FDFC">
      <w:pPr>
        <w:framePr w:w="8163" w:wrap="auto" w:vAnchor="margin" w:hAnchor="text" w:x="1800" w:y="9486"/>
        <w:widowControl w:val="0"/>
        <w:autoSpaceDE w:val="0"/>
        <w:autoSpaceDN w:val="0"/>
        <w:spacing w:before="314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（4）参与方通过网上交易系统提交的报价一经报出，</w:t>
      </w:r>
    </w:p>
    <w:p w14:paraId="20502EA9">
      <w:pPr>
        <w:framePr w:w="8163" w:wrap="auto" w:vAnchor="margin" w:hAnchor="text" w:x="1800" w:y="9486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不可撤回；</w:t>
      </w:r>
    </w:p>
    <w:p w14:paraId="30A21E47">
      <w:pPr>
        <w:framePr w:w="8920" w:wrap="auto" w:vAnchor="margin" w:hAnchor="text" w:x="1800" w:y="1135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（5）因网络延迟问题，竞买人应尽量避免在限时竞价</w:t>
      </w:r>
    </w:p>
    <w:p w14:paraId="7BA3799D">
      <w:pPr>
        <w:framePr w:w="8920" w:wrap="auto" w:vAnchor="margin" w:hAnchor="text" w:x="1800" w:y="1135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5"/>
          <w:sz w:val="31"/>
        </w:rPr>
        <w:t>结束前最后几秒钟内才报价，以防止系统无法及时接收到报价的</w:t>
      </w:r>
    </w:p>
    <w:p w14:paraId="3C620CDE">
      <w:pPr>
        <w:framePr w:w="8920" w:wrap="auto" w:vAnchor="margin" w:hAnchor="text" w:x="1800" w:y="11351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情况发生。</w:t>
      </w:r>
    </w:p>
    <w:p w14:paraId="3D68C753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718C7719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0A2A3304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024F5369">
      <w:pPr>
        <w:framePr w:w="3030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四、确定成交候选人</w:t>
      </w:r>
    </w:p>
    <w:p w14:paraId="17A49E69">
      <w:pPr>
        <w:framePr w:w="7680" w:wrap="auto" w:vAnchor="margin" w:hAnchor="text" w:x="2441" w:y="203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成交候选人的排序及定标标准以竞价公告载明的为准。</w:t>
      </w:r>
    </w:p>
    <w:p w14:paraId="17555D07">
      <w:pPr>
        <w:framePr w:w="2100" w:wrap="auto" w:vAnchor="margin" w:hAnchor="text" w:x="1800" w:y="3306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五、无效报价</w:t>
      </w:r>
    </w:p>
    <w:p w14:paraId="42816C93">
      <w:pPr>
        <w:framePr w:w="8011" w:wrap="auto" w:vAnchor="margin" w:hAnchor="text" w:x="1800" w:y="389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参与方出现以下情况将被视为不满足竞价实质性响应</w:t>
      </w:r>
    </w:p>
    <w:p w14:paraId="2493BF95">
      <w:pPr>
        <w:framePr w:w="8011" w:wrap="auto" w:vAnchor="margin" w:hAnchor="text" w:x="1800" w:y="389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要求，其报价视为无效报价：</w:t>
      </w:r>
    </w:p>
    <w:p w14:paraId="0BDB3427">
      <w:pPr>
        <w:framePr w:w="5045" w:wrap="auto" w:vAnchor="margin" w:hAnchor="text" w:x="2441" w:y="513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（1）报价未在报价期限内报出的。</w:t>
      </w:r>
    </w:p>
    <w:p w14:paraId="52FB06D7">
      <w:pPr>
        <w:framePr w:w="8163" w:wrap="auto" w:vAnchor="margin" w:hAnchor="text" w:x="1800" w:y="5766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（2）因竞买人网络故障，系统未在网上拍卖报价期限</w:t>
      </w:r>
    </w:p>
    <w:p w14:paraId="5ED08599">
      <w:pPr>
        <w:framePr w:w="8163" w:wrap="auto" w:vAnchor="margin" w:hAnchor="text" w:x="1800" w:y="5766"/>
        <w:widowControl w:val="0"/>
        <w:autoSpaceDE w:val="0"/>
        <w:autoSpaceDN w:val="0"/>
        <w:spacing w:before="314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内收到竞买人报价的。</w:t>
      </w:r>
    </w:p>
    <w:p w14:paraId="121CABB6">
      <w:pPr>
        <w:framePr w:w="8163" w:wrap="auto" w:vAnchor="margin" w:hAnchor="text" w:x="1800" w:y="701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（3）报价超过最高限价（预算金额）或低于最低限价</w:t>
      </w:r>
    </w:p>
    <w:p w14:paraId="3201762C">
      <w:pPr>
        <w:framePr w:w="8163" w:wrap="auto" w:vAnchor="margin" w:hAnchor="text" w:x="1800" w:y="70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（如有设置的话）的视为无效报价。</w:t>
      </w:r>
    </w:p>
    <w:p w14:paraId="2C4ACD64">
      <w:pPr>
        <w:framePr w:w="6285" w:wrap="auto" w:vAnchor="margin" w:hAnchor="text" w:x="2441" w:y="825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（4）未按竞价公告的要求提供有效证明的。</w:t>
      </w:r>
    </w:p>
    <w:p w14:paraId="1AB7B07B">
      <w:pPr>
        <w:framePr w:w="6285" w:wrap="auto" w:vAnchor="margin" w:hAnchor="text" w:x="2441" w:y="825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（5）未对竞价内容进行完整报价的。</w:t>
      </w:r>
    </w:p>
    <w:p w14:paraId="0A1085FA">
      <w:pPr>
        <w:framePr w:w="7215" w:wrap="auto" w:vAnchor="margin" w:hAnchor="text" w:x="2441" w:y="949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（6）未对竞价公告的实质性要求和条件作出响应。</w:t>
      </w:r>
    </w:p>
    <w:p w14:paraId="5C381E32">
      <w:pPr>
        <w:framePr w:w="7215" w:wrap="auto" w:vAnchor="margin" w:hAnchor="text" w:x="2441" w:y="949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（7）提供虚假或失实资料的。</w:t>
      </w:r>
    </w:p>
    <w:p w14:paraId="67606912">
      <w:pPr>
        <w:framePr w:w="8163" w:wrap="auto" w:vAnchor="margin" w:hAnchor="text" w:x="1800" w:y="10746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（8）报价响应内容与竞价内容及要求有重大偏离或保</w:t>
      </w:r>
    </w:p>
    <w:p w14:paraId="4E2527F7">
      <w:pPr>
        <w:framePr w:w="8163" w:wrap="auto" w:vAnchor="margin" w:hAnchor="text" w:x="1800" w:y="10746"/>
        <w:widowControl w:val="0"/>
        <w:autoSpaceDE w:val="0"/>
        <w:autoSpaceDN w:val="0"/>
        <w:spacing w:before="314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留的，发布人无法接受的。</w:t>
      </w:r>
    </w:p>
    <w:p w14:paraId="55C06699">
      <w:pPr>
        <w:framePr w:w="8163" w:wrap="auto" w:vAnchor="margin" w:hAnchor="text" w:x="1800" w:y="1199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（9）报价响应附有发布人不能接受的条件，或限制了</w:t>
      </w:r>
    </w:p>
    <w:p w14:paraId="7EEEE38F">
      <w:pPr>
        <w:framePr w:w="8163" w:wrap="auto" w:vAnchor="margin" w:hAnchor="text" w:x="1800" w:y="1199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发布人的权利和成交人合同项下的义务的。</w:t>
      </w:r>
    </w:p>
    <w:p w14:paraId="68A20248">
      <w:pPr>
        <w:framePr w:w="8163" w:wrap="auto" w:vAnchor="margin" w:hAnchor="text" w:x="1800" w:y="11991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资格、报价有效性的审核由发布人组织进行。</w:t>
      </w:r>
    </w:p>
    <w:p w14:paraId="43A7D142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523A3D82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1C50E8B0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6B3B0596">
      <w:pPr>
        <w:framePr w:w="6771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六、竞价活动失败</w:t>
      </w:r>
    </w:p>
    <w:p w14:paraId="4D152687">
      <w:pPr>
        <w:framePr w:w="6771" w:wrap="auto" w:vAnchor="margin" w:hAnchor="text" w:x="1800" w:y="1455"/>
        <w:widowControl w:val="0"/>
        <w:autoSpaceDE w:val="0"/>
        <w:autoSpaceDN w:val="0"/>
        <w:spacing w:before="266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竞价活动出现以下情形的，竞价活动失败：</w:t>
      </w:r>
    </w:p>
    <w:p w14:paraId="3E25B513">
      <w:pPr>
        <w:framePr w:w="8163" w:wrap="auto" w:vAnchor="margin" w:hAnchor="text" w:x="1800" w:y="265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（1）报名参与方数量、提交报价的参与方数量、有效</w:t>
      </w:r>
    </w:p>
    <w:p w14:paraId="77E958B1">
      <w:pPr>
        <w:framePr w:w="8163" w:wrap="auto" w:vAnchor="margin" w:hAnchor="text" w:x="1800" w:y="265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参与方数量不足竞价公告要求的最低数量的。</w:t>
      </w:r>
    </w:p>
    <w:p w14:paraId="03FBEDE1">
      <w:pPr>
        <w:framePr w:w="8163" w:wrap="auto" w:vAnchor="margin" w:hAnchor="text" w:x="1800" w:y="2651"/>
        <w:widowControl w:val="0"/>
        <w:autoSpaceDE w:val="0"/>
        <w:autoSpaceDN w:val="0"/>
        <w:spacing w:before="312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（2）出现影响竞价活动公正的违法、违规行为的。</w:t>
      </w:r>
    </w:p>
    <w:p w14:paraId="5E584108">
      <w:pPr>
        <w:framePr w:w="8163" w:wrap="auto" w:vAnchor="margin" w:hAnchor="text" w:x="1800" w:y="2651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（3）因重大变故，竞价任务取消的。</w:t>
      </w:r>
    </w:p>
    <w:p w14:paraId="31AC32BC">
      <w:pPr>
        <w:framePr w:w="5355" w:wrap="auto" w:vAnchor="margin" w:hAnchor="text" w:x="2441" w:y="5130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（4）竞价公告内容存在重大错误的。</w:t>
      </w:r>
    </w:p>
    <w:p w14:paraId="00C63F99">
      <w:pPr>
        <w:framePr w:w="4270" w:wrap="auto" w:vAnchor="margin" w:hAnchor="text" w:x="1800" w:y="6423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七、平台报名费及平台服务费</w:t>
      </w:r>
    </w:p>
    <w:p w14:paraId="30BD3967">
      <w:pPr>
        <w:framePr w:w="2565" w:wrap="auto" w:vAnchor="margin" w:hAnchor="text" w:x="2441" w:y="701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1、平台报名费：</w:t>
      </w:r>
    </w:p>
    <w:p w14:paraId="1FD3779D">
      <w:pPr>
        <w:framePr w:w="8455" w:wrap="auto" w:vAnchor="margin" w:hAnchor="text" w:x="1800" w:y="763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参与竞价的参与方应在提交资格证明文件（资格预审项</w:t>
      </w:r>
    </w:p>
    <w:p w14:paraId="59637413">
      <w:pPr>
        <w:framePr w:w="8455" w:wrap="auto" w:vAnchor="margin" w:hAnchor="text" w:x="1800" w:y="763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2"/>
          <w:sz w:val="31"/>
        </w:rPr>
        <w:t>目）或报价前缴交平台报名费。平台报名费标准为人民币200</w:t>
      </w:r>
    </w:p>
    <w:p w14:paraId="35F1618C">
      <w:pPr>
        <w:framePr w:w="8455" w:wrap="auto" w:vAnchor="margin" w:hAnchor="text" w:x="1800" w:y="7631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元/次。</w:t>
      </w:r>
    </w:p>
    <w:p w14:paraId="1BB07932">
      <w:pPr>
        <w:framePr w:w="2565" w:wrap="auto" w:vAnchor="margin" w:hAnchor="text" w:x="2441" w:y="9491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2、平台服务费：</w:t>
      </w:r>
    </w:p>
    <w:p w14:paraId="2D4FC661">
      <w:pPr>
        <w:framePr w:w="8920" w:wrap="auto" w:vAnchor="margin" w:hAnchor="text" w:x="1800" w:y="1011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（1）货物、服务、工程、资产转让的收费标准成交人</w:t>
      </w:r>
    </w:p>
    <w:p w14:paraId="7002D1DA">
      <w:pPr>
        <w:framePr w:w="8920" w:wrap="auto" w:vAnchor="margin" w:hAnchor="text" w:x="1800" w:y="1011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3"/>
          <w:sz w:val="31"/>
        </w:rPr>
        <w:t>须在领取成交通知书前缴交平台服务费。平台服务费收费标准：</w:t>
      </w:r>
    </w:p>
    <w:p w14:paraId="3F6F8944">
      <w:pPr>
        <w:framePr w:w="8920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1"/>
          <w:sz w:val="31"/>
        </w:rPr>
        <w:t>成交金额的2%（四舍五入取整数），不足</w:t>
      </w:r>
      <w:r>
        <w:rPr>
          <w:rFonts w:ascii="Times New Roman"/>
          <w:color w:val="000000"/>
          <w:spacing w:val="2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20</w:t>
      </w:r>
      <w:r>
        <w:rPr>
          <w:rFonts w:ascii="Times New Roman"/>
          <w:color w:val="000000"/>
          <w:spacing w:val="-3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元的按</w:t>
      </w:r>
      <w:r>
        <w:rPr>
          <w:rFonts w:ascii="Times New Roman"/>
          <w:color w:val="000000"/>
          <w:spacing w:val="2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20元收取。</w:t>
      </w:r>
    </w:p>
    <w:p w14:paraId="45C80108">
      <w:pPr>
        <w:framePr w:w="8920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（2）资产租赁的收费标准成交人须在领取成交通知书</w:t>
      </w:r>
    </w:p>
    <w:p w14:paraId="7B563A7E">
      <w:pPr>
        <w:framePr w:w="8920" w:wrap="auto" w:vAnchor="margin" w:hAnchor="text" w:x="1800" w:y="1011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前缴交平台服务费。平台服务费收费标准结合租期，换</w:t>
      </w:r>
    </w:p>
    <w:p w14:paraId="491A5C13">
      <w:pPr>
        <w:framePr w:w="8920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-2"/>
          <w:sz w:val="31"/>
        </w:rPr>
        <w:t>算为成交总价后计取：服务费为成交总价的</w:t>
      </w:r>
      <w:r>
        <w:rPr>
          <w:rFonts w:ascii="Times New Roman"/>
          <w:color w:val="000000"/>
          <w:spacing w:val="3"/>
          <w:sz w:val="31"/>
        </w:rPr>
        <w:t xml:space="preserve"> </w:t>
      </w:r>
      <w:r>
        <w:rPr>
          <w:rFonts w:ascii="宋体" w:hAnsi="宋体" w:cs="宋体"/>
          <w:color w:val="000000"/>
          <w:spacing w:val="-4"/>
          <w:sz w:val="31"/>
        </w:rPr>
        <w:t>2%（四舍五入取整</w:t>
      </w:r>
    </w:p>
    <w:p w14:paraId="2F1A1638">
      <w:pPr>
        <w:framePr w:w="8920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数），不足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20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元的按</w:t>
      </w:r>
      <w:r>
        <w:rPr>
          <w:rFonts w:ascii="Times New Roman"/>
          <w:color w:val="000000"/>
          <w:spacing w:val="79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20元收取。</w:t>
      </w:r>
    </w:p>
    <w:p w14:paraId="31B3D1DE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132F37C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7D75475B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478349CF">
      <w:pPr>
        <w:framePr w:w="8319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如：租期</w:t>
      </w:r>
      <w:r>
        <w:rPr>
          <w:rFonts w:ascii="Times New Roman"/>
          <w:color w:val="000000"/>
          <w:spacing w:val="79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月，成交单价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元/月，则服务费为租</w:t>
      </w:r>
    </w:p>
    <w:p w14:paraId="1F718CDF">
      <w:pPr>
        <w:framePr w:w="8319" w:wrap="auto" w:vAnchor="margin" w:hAnchor="text" w:x="1800" w:y="1455"/>
        <w:widowControl w:val="0"/>
        <w:autoSpaceDE w:val="0"/>
        <w:autoSpaceDN w:val="0"/>
        <w:spacing w:before="266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期*单价*2%；</w:t>
      </w:r>
    </w:p>
    <w:p w14:paraId="64A5BDC5">
      <w:pPr>
        <w:framePr w:w="8319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租期</w:t>
      </w:r>
      <w:r>
        <w:rPr>
          <w:rFonts w:ascii="Times New Roman"/>
          <w:color w:val="000000"/>
          <w:spacing w:val="79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4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年，成交单价</w:t>
      </w:r>
      <w:r>
        <w:rPr>
          <w:rFonts w:ascii="Times New Roman"/>
          <w:color w:val="000000"/>
          <w:spacing w:val="78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元/月，则服务费为租期*单</w:t>
      </w:r>
    </w:p>
    <w:p w14:paraId="575115C0">
      <w:pPr>
        <w:framePr w:w="8319" w:wrap="auto" w:vAnchor="margin" w:hAnchor="text" w:x="1800" w:y="1455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价*12*2%；</w:t>
      </w:r>
    </w:p>
    <w:p w14:paraId="7DA5F688">
      <w:pPr>
        <w:framePr w:w="8319" w:wrap="auto" w:vAnchor="margin" w:hAnchor="text" w:x="1800" w:y="389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租期</w:t>
      </w:r>
      <w:r>
        <w:rPr>
          <w:rFonts w:ascii="Times New Roman"/>
          <w:color w:val="000000"/>
          <w:spacing w:val="79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4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年，成交单价</w:t>
      </w:r>
      <w:r>
        <w:rPr>
          <w:rFonts w:ascii="Times New Roman"/>
          <w:color w:val="000000"/>
          <w:spacing w:val="78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元/年，则服务费为租期*单</w:t>
      </w:r>
    </w:p>
    <w:p w14:paraId="6E384A92">
      <w:pPr>
        <w:framePr w:w="8319" w:wrap="auto" w:vAnchor="margin" w:hAnchor="text" w:x="1800" w:y="389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价*2%；</w:t>
      </w:r>
    </w:p>
    <w:p w14:paraId="50E4F9C5">
      <w:pPr>
        <w:framePr w:w="8319" w:wrap="auto" w:vAnchor="margin" w:hAnchor="text" w:x="1800" w:y="3891"/>
        <w:widowControl w:val="0"/>
        <w:autoSpaceDE w:val="0"/>
        <w:autoSpaceDN w:val="0"/>
        <w:spacing w:before="309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成交总价</w:t>
      </w:r>
      <w:r>
        <w:rPr>
          <w:rFonts w:ascii="Times New Roman"/>
          <w:color w:val="000000"/>
          <w:spacing w:val="79"/>
          <w:sz w:val="31"/>
        </w:rPr>
        <w:t xml:space="preserve"> </w:t>
      </w:r>
      <w:r>
        <w:rPr>
          <w:rFonts w:ascii="宋体"/>
          <w:color w:val="000000"/>
          <w:spacing w:val="1"/>
          <w:sz w:val="31"/>
        </w:rPr>
        <w:t>XX</w:t>
      </w:r>
      <w:r>
        <w:rPr>
          <w:rFonts w:ascii="Times New Roman"/>
          <w:color w:val="000000"/>
          <w:spacing w:val="76"/>
          <w:sz w:val="31"/>
        </w:rPr>
        <w:t xml:space="preserve"> </w:t>
      </w:r>
      <w:r>
        <w:rPr>
          <w:rFonts w:ascii="宋体" w:hAnsi="宋体" w:cs="宋体"/>
          <w:color w:val="000000"/>
          <w:spacing w:val="0"/>
          <w:sz w:val="31"/>
        </w:rPr>
        <w:t>元，则服务费为成交总价*2%。</w:t>
      </w:r>
    </w:p>
    <w:p w14:paraId="51B16B5C">
      <w:pPr>
        <w:framePr w:w="8165" w:wrap="auto" w:vAnchor="margin" w:hAnchor="text" w:x="1800" w:y="6423"/>
        <w:widowControl w:val="0"/>
        <w:autoSpaceDE w:val="0"/>
        <w:autoSpaceDN w:val="0"/>
        <w:spacing w:before="0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八、免责声明</w:t>
      </w:r>
    </w:p>
    <w:p w14:paraId="57E89E25">
      <w:pPr>
        <w:framePr w:w="8165" w:wrap="auto" w:vAnchor="margin" w:hAnchor="text" w:x="1800" w:y="6423"/>
        <w:widowControl w:val="0"/>
        <w:autoSpaceDE w:val="0"/>
        <w:autoSpaceDN w:val="0"/>
        <w:spacing w:before="278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1、当出现下列任何情况，平台不承担任何经济责任和</w:t>
      </w:r>
    </w:p>
    <w:p w14:paraId="1A90234B">
      <w:pPr>
        <w:framePr w:w="8165" w:wrap="auto" w:vAnchor="margin" w:hAnchor="text" w:x="1800" w:y="6423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法律责任。</w:t>
      </w:r>
    </w:p>
    <w:p w14:paraId="4ADF87C4">
      <w:pPr>
        <w:framePr w:w="8681" w:wrap="auto" w:vAnchor="margin" w:hAnchor="text" w:x="1800" w:y="825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（1）对因不可抗力因素以及系统故障，设备故障、通</w:t>
      </w:r>
    </w:p>
    <w:p w14:paraId="7C1FD06D">
      <w:pPr>
        <w:framePr w:w="8681" w:wrap="auto" w:vAnchor="margin" w:hAnchor="text" w:x="1800" w:y="825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讯故障、电力故障等突发事故所产生的不可预测或不可控制因</w:t>
      </w:r>
    </w:p>
    <w:p w14:paraId="2218897A">
      <w:pPr>
        <w:framePr w:w="8681" w:wrap="auto" w:vAnchor="margin" w:hAnchor="text" w:x="1800" w:y="825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素造成损失的。</w:t>
      </w:r>
    </w:p>
    <w:p w14:paraId="576A722B">
      <w:pPr>
        <w:framePr w:w="8460" w:wrap="auto" w:vAnchor="margin" w:hAnchor="text" w:x="1800" w:y="1011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（2）网上竞价的时间以竞价系统服务器时间为准，由</w:t>
      </w:r>
    </w:p>
    <w:p w14:paraId="29FE1CAA">
      <w:pPr>
        <w:framePr w:w="8460" w:wrap="auto" w:vAnchor="margin" w:hAnchor="text" w:x="1800" w:y="1011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6"/>
          <w:sz w:val="31"/>
        </w:rPr>
        <w:t>于参与方自身设备时间与网上竞价系统服务器时间不符而导</w:t>
      </w:r>
    </w:p>
    <w:p w14:paraId="1B53E7B4">
      <w:pPr>
        <w:framePr w:w="8460" w:wrap="auto" w:vAnchor="margin" w:hAnchor="text" w:x="1800" w:y="10110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致未按时参与的报价。</w:t>
      </w:r>
    </w:p>
    <w:p w14:paraId="4DFAADB1">
      <w:pPr>
        <w:framePr w:w="8163" w:wrap="auto" w:vAnchor="margin" w:hAnchor="text" w:x="1800" w:y="11970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（3）不允许同个账号开多个页面进行报价，以防取无</w:t>
      </w:r>
    </w:p>
    <w:p w14:paraId="61673F91">
      <w:pPr>
        <w:framePr w:w="8163" w:wrap="auto" w:vAnchor="margin" w:hAnchor="text" w:x="1800" w:y="11970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法获取当前最新的报价。</w:t>
      </w:r>
    </w:p>
    <w:p w14:paraId="08901E18">
      <w:pPr>
        <w:framePr w:w="8163" w:wrap="auto" w:vAnchor="margin" w:hAnchor="text" w:x="1800" w:y="1321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（4）参与方自身原因导致其注册账号信息泄露而造成</w:t>
      </w:r>
    </w:p>
    <w:p w14:paraId="5D3615C0">
      <w:pPr>
        <w:framePr w:w="8163" w:wrap="auto" w:vAnchor="margin" w:hAnchor="text" w:x="1800" w:y="132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的一切后果。</w:t>
      </w:r>
    </w:p>
    <w:p w14:paraId="3A756A30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41827DD0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 w14:paraId="6C090916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 w14:paraId="72E58BE6">
      <w:pPr>
        <w:framePr w:w="8163" w:wrap="auto" w:vAnchor="margin" w:hAnchor="text" w:x="1800" w:y="1455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（5）参与方因忘记密码、自身设备终端出现故障或者</w:t>
      </w:r>
    </w:p>
    <w:p w14:paraId="40CD8C3A">
      <w:pPr>
        <w:framePr w:w="8163" w:wrap="auto" w:vAnchor="margin" w:hAnchor="text" w:x="1800" w:y="1455"/>
        <w:widowControl w:val="0"/>
        <w:autoSpaceDE w:val="0"/>
        <w:autoSpaceDN w:val="0"/>
        <w:spacing w:before="266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网络异常而不能正常竞价的。</w:t>
      </w:r>
    </w:p>
    <w:p w14:paraId="1EE5FF1B">
      <w:pPr>
        <w:framePr w:w="8681" w:wrap="auto" w:vAnchor="margin" w:hAnchor="text" w:x="1800" w:y="265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（6）竞价公告发布人发布虚假、错误信息，或产生成</w:t>
      </w:r>
    </w:p>
    <w:p w14:paraId="2FB6D721">
      <w:pPr>
        <w:framePr w:w="8681" w:wrap="auto" w:vAnchor="margin" w:hAnchor="text" w:x="1800" w:y="265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交人后，发布人因自身原因拒不执行合同签订或履行合同义务</w:t>
      </w:r>
    </w:p>
    <w:p w14:paraId="0B4E565B">
      <w:pPr>
        <w:framePr w:w="8681" w:wrap="auto" w:vAnchor="margin" w:hAnchor="text" w:x="1800" w:y="2651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的。</w:t>
      </w:r>
    </w:p>
    <w:p w14:paraId="58327025">
      <w:pPr>
        <w:framePr w:w="8681" w:wrap="auto" w:vAnchor="margin" w:hAnchor="text" w:x="1800" w:y="4511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2、因不可抗力、软硬件故障、非法入侵、恶意攻击导</w:t>
      </w:r>
    </w:p>
    <w:p w14:paraId="46A998AA">
      <w:pPr>
        <w:framePr w:w="8681" w:wrap="auto" w:vAnchor="margin" w:hAnchor="text" w:x="1800" w:y="45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致系统故障无法继续进行竞价的，或者工商、司法等监管部门</w:t>
      </w:r>
    </w:p>
    <w:p w14:paraId="7EC64A90">
      <w:pPr>
        <w:framePr w:w="8681" w:wrap="auto" w:vAnchor="margin" w:hAnchor="text" w:x="1800" w:y="4511"/>
        <w:widowControl w:val="0"/>
        <w:autoSpaceDE w:val="0"/>
        <w:autoSpaceDN w:val="0"/>
        <w:spacing w:before="312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紧急要求网上竞价中止或者终止等原因导致的报价中断的，平</w:t>
      </w:r>
    </w:p>
    <w:p w14:paraId="63630868">
      <w:pPr>
        <w:framePr w:w="8681" w:wrap="auto" w:vAnchor="margin" w:hAnchor="text" w:x="1800" w:y="4511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台将视情况延长竞价期或者重新竞价。具体请关注网上通知。</w:t>
      </w:r>
    </w:p>
    <w:p w14:paraId="2B63BC8C">
      <w:pPr>
        <w:framePr w:w="8681" w:wrap="auto" w:vAnchor="margin" w:hAnchor="text" w:x="1800" w:y="7647"/>
        <w:widowControl w:val="0"/>
        <w:autoSpaceDE w:val="0"/>
        <w:autoSpaceDN w:val="0"/>
        <w:spacing w:before="0" w:after="0" w:line="310" w:lineRule="exact"/>
        <w:ind w:left="641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参与方应认真阅读并正确理解网上竞价须知的全部内</w:t>
      </w:r>
    </w:p>
    <w:p w14:paraId="2860E0BD">
      <w:pPr>
        <w:framePr w:w="8681" w:wrap="auto" w:vAnchor="margin" w:hAnchor="text" w:x="1800" w:y="7647"/>
        <w:widowControl w:val="0"/>
        <w:autoSpaceDE w:val="0"/>
        <w:autoSpaceDN w:val="0"/>
        <w:spacing w:before="273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3"/>
          <w:sz w:val="31"/>
        </w:rPr>
        <w:t>容，参与方一旦通过平台注册使用，即表示对本网上竞价须知</w:t>
      </w:r>
    </w:p>
    <w:p w14:paraId="4DFB3035">
      <w:pPr>
        <w:framePr w:w="8681" w:wrap="auto" w:vAnchor="margin" w:hAnchor="text" w:x="1800" w:y="7647"/>
        <w:widowControl w:val="0"/>
        <w:autoSpaceDE w:val="0"/>
        <w:autoSpaceDN w:val="0"/>
        <w:spacing w:before="309" w:after="0" w:line="310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的全部内容予以确认，无任何异议。</w:t>
      </w:r>
    </w:p>
    <w:p w14:paraId="3FDF0817">
      <w:pPr>
        <w:framePr w:w="4576" w:wrap="auto" w:vAnchor="margin" w:hAnchor="text" w:x="5448" w:y="10758"/>
        <w:widowControl w:val="0"/>
        <w:autoSpaceDE w:val="0"/>
        <w:autoSpaceDN w:val="0"/>
        <w:spacing w:before="0" w:after="0" w:line="310" w:lineRule="exact"/>
        <w:ind w:left="192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宁化县国有资产投资有限公司</w:t>
      </w:r>
    </w:p>
    <w:p w14:paraId="7ACE509D">
      <w:pPr>
        <w:framePr w:w="4576" w:wrap="auto" w:vAnchor="margin" w:hAnchor="text" w:x="5448" w:y="10758"/>
        <w:widowControl w:val="0"/>
        <w:autoSpaceDE w:val="0"/>
        <w:autoSpaceDN w:val="0"/>
        <w:spacing w:before="89" w:after="0" w:line="31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宋体" w:hAnsi="宋体" w:cs="宋体"/>
          <w:color w:val="000000"/>
          <w:spacing w:val="0"/>
          <w:sz w:val="31"/>
        </w:rPr>
        <w:t>宁化县国有资产电子招投标平台</w:t>
      </w:r>
    </w:p>
    <w:p w14:paraId="34D2A61C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 w14:paraId="2D61EEEF">
      <w:pPr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  <w:embedRegular r:id="rId1" w:fontKey="{9203AF75-273F-4843-A48C-B5A5EAF3F3DB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CE130074-9703-4460-A856-123EF7BBF0C2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C8FA23BC-11B2-443F-912E-6616264666F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25000694-5B81-4B6E-9485-6C9AFE3186F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2937A3D8-CC7C-45D5-9E04-E08054DF8B4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92EE55F8-ECE4-4F09-BB04-C9696BD08B5D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A0251D00-83F6-4C63-8C1F-C6B00259669D}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  <w:embedRegular r:id="rId8" w:fontKey="{E7F8E96D-C27C-48D4-B76F-65BF538019C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documentProtection w:enforcement="0"/>
  <w:defaultTabStop w:val="708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  <w:rsid w:val="5905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4294967295" w:semiHidden="0" w:name="heading 1"/>
    <w:lsdException w:unhideWhenUsed="0" w:uiPriority="4294967295" w:semiHidden="0" w:name="heading 2"/>
    <w:lsdException w:unhideWhenUsed="0" w:uiPriority="4294967295" w:semiHidden="0" w:name="heading 3"/>
    <w:lsdException w:unhideWhenUsed="0" w:uiPriority="4294967295" w:semiHidden="0" w:name="heading 4"/>
    <w:lsdException w:unhideWhenUsed="0" w:uiPriority="4294967295" w:semiHidden="0" w:name="heading 5"/>
    <w:lsdException w:unhideWhenUsed="0" w:uiPriority="4294967295" w:semiHidden="0" w:name="heading 6"/>
    <w:lsdException w:unhideWhenUsed="0" w:uiPriority="4294967295" w:semiHidden="0" w:name="heading 7"/>
    <w:lsdException w:unhideWhenUsed="0" w:uiPriority="4294967295" w:semiHidden="0" w:name="heading 8"/>
    <w:lsdException w:unhideWhenUsed="0" w:uiPriority="4294967295" w:semiHidden="0" w:name="heading 9"/>
    <w:lsdException w:unhideWhenUsed="0" w:uiPriority="4294967295" w:semiHidden="0" w:name="index 1"/>
    <w:lsdException w:unhideWhenUsed="0" w:uiPriority="4294967295" w:semiHidden="0" w:name="index 2"/>
    <w:lsdException w:unhideWhenUsed="0" w:uiPriority="4294967295" w:semiHidden="0" w:name="index 3"/>
    <w:lsdException w:unhideWhenUsed="0" w:uiPriority="4294967295" w:semiHidden="0" w:name="index 4"/>
    <w:lsdException w:unhideWhenUsed="0" w:uiPriority="4294967295" w:semiHidden="0" w:name="index 5"/>
    <w:lsdException w:unhideWhenUsed="0" w:uiPriority="4294967295" w:semiHidden="0" w:name="index 6"/>
    <w:lsdException w:unhideWhenUsed="0" w:uiPriority="4294967295" w:semiHidden="0" w:name="index 7"/>
    <w:lsdException w:unhideWhenUsed="0" w:uiPriority="4294967295" w:semiHidden="0" w:name="index 8"/>
    <w:lsdException w:unhideWhenUsed="0" w:uiPriority="4294967295" w:semiHidden="0" w:name="index 9"/>
    <w:lsdException w:unhideWhenUsed="0" w:uiPriority="4294967295" w:semiHidden="0" w:name="toc 1"/>
    <w:lsdException w:unhideWhenUsed="0" w:uiPriority="4294967295" w:semiHidden="0" w:name="toc 2"/>
    <w:lsdException w:unhideWhenUsed="0" w:uiPriority="4294967295" w:semiHidden="0" w:name="toc 3"/>
    <w:lsdException w:unhideWhenUsed="0" w:uiPriority="4294967295" w:semiHidden="0" w:name="toc 4"/>
    <w:lsdException w:unhideWhenUsed="0" w:uiPriority="4294967295" w:semiHidden="0" w:name="toc 5"/>
    <w:lsdException w:unhideWhenUsed="0" w:uiPriority="4294967295" w:semiHidden="0" w:name="toc 6"/>
    <w:lsdException w:unhideWhenUsed="0" w:uiPriority="4294967295" w:semiHidden="0" w:name="toc 7"/>
    <w:lsdException w:unhideWhenUsed="0" w:uiPriority="4294967295" w:semiHidden="0" w:name="toc 8"/>
    <w:lsdException w:unhideWhenUsed="0" w:uiPriority="4294967295" w:semiHidden="0" w:name="toc 9"/>
    <w:lsdException w:unhideWhenUsed="0" w:uiPriority="4294967295" w:semiHidden="0" w:name="Normal Indent"/>
    <w:lsdException w:unhideWhenUsed="0" w:uiPriority="4294967295" w:semiHidden="0" w:name="footnote text"/>
    <w:lsdException w:unhideWhenUsed="0" w:uiPriority="4294967295" w:semiHidden="0" w:name="annotation text"/>
    <w:lsdException w:unhideWhenUsed="0" w:uiPriority="4294967295" w:semiHidden="0" w:name="header"/>
    <w:lsdException w:unhideWhenUsed="0" w:uiPriority="4294967295" w:semiHidden="0" w:name="footer"/>
    <w:lsdException w:unhideWhenUsed="0" w:uiPriority="4294967295" w:semiHidden="0" w:name="index heading"/>
    <w:lsdException w:unhideWhenUsed="0" w:uiPriority="4294967295" w:semiHidden="0" w:name="caption"/>
    <w:lsdException w:unhideWhenUsed="0" w:uiPriority="4294967295" w:semiHidden="0" w:name="table of figures"/>
    <w:lsdException w:unhideWhenUsed="0" w:uiPriority="4294967295" w:semiHidden="0" w:name="envelope address"/>
    <w:lsdException w:unhideWhenUsed="0" w:uiPriority="4294967295" w:semiHidden="0" w:name="envelope return"/>
    <w:lsdException w:unhideWhenUsed="0" w:uiPriority="4294967295" w:semiHidden="0" w:name="footnote reference"/>
    <w:lsdException w:unhideWhenUsed="0" w:uiPriority="4294967295" w:semiHidden="0" w:name="annotation reference"/>
    <w:lsdException w:unhideWhenUsed="0" w:uiPriority="4294967295" w:semiHidden="0" w:name="line number"/>
    <w:lsdException w:unhideWhenUsed="0" w:uiPriority="4294967295" w:semiHidden="0" w:name="page number"/>
    <w:lsdException w:unhideWhenUsed="0" w:uiPriority="4294967295" w:semiHidden="0" w:name="endnote reference"/>
    <w:lsdException w:unhideWhenUsed="0" w:uiPriority="4294967295" w:semiHidden="0" w:name="endnote text"/>
    <w:lsdException w:unhideWhenUsed="0" w:uiPriority="4294967295" w:semiHidden="0" w:name="table of authorities"/>
    <w:lsdException w:unhideWhenUsed="0" w:uiPriority="4294967295" w:semiHidden="0" w:name="macro"/>
    <w:lsdException w:unhideWhenUsed="0" w:uiPriority="4294967295" w:semiHidden="0" w:name="toa heading"/>
    <w:lsdException w:unhideWhenUsed="0" w:uiPriority="4294967295" w:semiHidden="0" w:name="List"/>
    <w:lsdException w:unhideWhenUsed="0" w:uiPriority="4294967295" w:semiHidden="0" w:name="List Bullet"/>
    <w:lsdException w:unhideWhenUsed="0" w:uiPriority="4294967295" w:semiHidden="0" w:name="List Number"/>
    <w:lsdException w:unhideWhenUsed="0" w:uiPriority="4294967295" w:semiHidden="0" w:name="List 2"/>
    <w:lsdException w:unhideWhenUsed="0" w:uiPriority="4294967295" w:semiHidden="0" w:name="List 3"/>
    <w:lsdException w:unhideWhenUsed="0" w:uiPriority="4294967295" w:semiHidden="0" w:name="List 4"/>
    <w:lsdException w:unhideWhenUsed="0" w:uiPriority="4294967295" w:semiHidden="0" w:name="List 5"/>
    <w:lsdException w:unhideWhenUsed="0" w:uiPriority="4294967295" w:semiHidden="0" w:name="List Bullet 2"/>
    <w:lsdException w:unhideWhenUsed="0" w:uiPriority="4294967295" w:semiHidden="0" w:name="List Bullet 3"/>
    <w:lsdException w:unhideWhenUsed="0" w:uiPriority="4294967295" w:semiHidden="0" w:name="List Bullet 4"/>
    <w:lsdException w:unhideWhenUsed="0" w:uiPriority="4294967295" w:semiHidden="0" w:name="List Bullet 5"/>
    <w:lsdException w:unhideWhenUsed="0" w:uiPriority="4294967295" w:semiHidden="0" w:name="List Number 2"/>
    <w:lsdException w:unhideWhenUsed="0" w:uiPriority="4294967295" w:semiHidden="0" w:name="List Number 3"/>
    <w:lsdException w:unhideWhenUsed="0" w:uiPriority="4294967295" w:semiHidden="0" w:name="List Number 4"/>
    <w:lsdException w:unhideWhenUsed="0" w:uiPriority="4294967295" w:semiHidden="0" w:name="List Number 5"/>
    <w:lsdException w:unhideWhenUsed="0" w:uiPriority="4294967295" w:semiHidden="0" w:name="Title"/>
    <w:lsdException w:unhideWhenUsed="0" w:uiPriority="4294967295" w:semiHidden="0" w:name="Closing"/>
    <w:lsdException w:unhideWhenUsed="0" w:uiPriority="4294967295" w:semiHidden="0" w:name="Signature"/>
    <w:lsdException w:qFormat="1" w:unhideWhenUsed="0" w:uiPriority="0" w:name="Default Paragraph Font"/>
    <w:lsdException w:unhideWhenUsed="0" w:uiPriority="4294967295" w:semiHidden="0" w:name="Body Text"/>
    <w:lsdException w:unhideWhenUsed="0" w:uiPriority="4294967295" w:semiHidden="0" w:name="Body Text Indent"/>
    <w:lsdException w:unhideWhenUsed="0" w:uiPriority="4294967295" w:semiHidden="0" w:name="List Continue"/>
    <w:lsdException w:unhideWhenUsed="0" w:uiPriority="4294967295" w:semiHidden="0" w:name="List Continue 2"/>
    <w:lsdException w:unhideWhenUsed="0" w:uiPriority="4294967295" w:semiHidden="0" w:name="List Continue 3"/>
    <w:lsdException w:unhideWhenUsed="0" w:uiPriority="4294967295" w:semiHidden="0" w:name="List Continue 4"/>
    <w:lsdException w:unhideWhenUsed="0" w:uiPriority="4294967295" w:semiHidden="0" w:name="List Continue 5"/>
    <w:lsdException w:unhideWhenUsed="0" w:uiPriority="4294967295" w:semiHidden="0" w:name="Message Header"/>
    <w:lsdException w:unhideWhenUsed="0" w:uiPriority="4294967295" w:semiHidden="0" w:name="Subtitle"/>
    <w:lsdException w:unhideWhenUsed="0" w:uiPriority="4294967295" w:semiHidden="0" w:name="Salutation"/>
    <w:lsdException w:unhideWhenUsed="0" w:uiPriority="4294967295" w:semiHidden="0" w:name="Date"/>
    <w:lsdException w:unhideWhenUsed="0" w:uiPriority="4294967295" w:semiHidden="0" w:name="Body Text First Indent"/>
    <w:lsdException w:unhideWhenUsed="0" w:uiPriority="4294967295" w:semiHidden="0" w:name="Body Text First Indent 2"/>
    <w:lsdException w:unhideWhenUsed="0" w:uiPriority="4294967295" w:semiHidden="0" w:name="Note Heading"/>
    <w:lsdException w:unhideWhenUsed="0" w:uiPriority="4294967295" w:semiHidden="0" w:name="Body Text 2"/>
    <w:lsdException w:unhideWhenUsed="0" w:uiPriority="4294967295" w:semiHidden="0" w:name="Body Text 3"/>
    <w:lsdException w:unhideWhenUsed="0" w:uiPriority="4294967295" w:semiHidden="0" w:name="Body Text Indent 2"/>
    <w:lsdException w:unhideWhenUsed="0" w:uiPriority="4294967295" w:semiHidden="0" w:name="Body Text Indent 3"/>
    <w:lsdException w:unhideWhenUsed="0" w:uiPriority="4294967295" w:semiHidden="0" w:name="Block Text"/>
    <w:lsdException w:unhideWhenUsed="0" w:uiPriority="4294967295" w:semiHidden="0" w:name="Hyperlink"/>
    <w:lsdException w:unhideWhenUsed="0" w:uiPriority="4294967295" w:semiHidden="0" w:name="FollowedHyperlink"/>
    <w:lsdException w:unhideWhenUsed="0" w:uiPriority="4294967295" w:semiHidden="0" w:name="Strong"/>
    <w:lsdException w:unhideWhenUsed="0" w:uiPriority="4294967295" w:semiHidden="0" w:name="Emphasis"/>
    <w:lsdException w:unhideWhenUsed="0" w:uiPriority="4294967295" w:semiHidden="0" w:name="Document Map"/>
    <w:lsdException w:unhideWhenUsed="0" w:uiPriority="4294967295" w:semiHidden="0" w:name="Plain Text"/>
    <w:lsdException w:unhideWhenUsed="0" w:uiPriority="4294967295" w:semiHidden="0" w:name="E-mail Signature"/>
    <w:lsdException w:unhideWhenUsed="0" w:uiPriority="4294967295" w:semiHidden="0" w:name="Normal (Web)"/>
    <w:lsdException w:unhideWhenUsed="0" w:uiPriority="4294967295" w:semiHidden="0" w:name="HTML Acronym"/>
    <w:lsdException w:unhideWhenUsed="0" w:uiPriority="4294967295" w:semiHidden="0" w:name="HTML Address"/>
    <w:lsdException w:unhideWhenUsed="0" w:uiPriority="4294967295" w:semiHidden="0" w:name="HTML Cite"/>
    <w:lsdException w:unhideWhenUsed="0" w:uiPriority="4294967295" w:semiHidden="0" w:name="HTML Code"/>
    <w:lsdException w:unhideWhenUsed="0" w:uiPriority="4294967295" w:semiHidden="0" w:name="HTML Definition"/>
    <w:lsdException w:unhideWhenUsed="0" w:uiPriority="4294967295" w:semiHidden="0" w:name="HTML Keyboard"/>
    <w:lsdException w:unhideWhenUsed="0" w:uiPriority="4294967295" w:semiHidden="0" w:name="HTML Preformatted"/>
    <w:lsdException w:unhideWhenUsed="0" w:uiPriority="4294967295" w:semiHidden="0" w:name="HTML Sample"/>
    <w:lsdException w:unhideWhenUsed="0" w:uiPriority="4294967295" w:semiHidden="0" w:name="HTML Typewriter"/>
    <w:lsdException w:unhideWhenUsed="0" w:uiPriority="4294967295" w:semiHidden="0" w:name="HTML Variable"/>
    <w:lsdException w:unhideWhenUsed="0" w:uiPriority="4294967295" w:semiHidden="0" w:name="Normal Table"/>
    <w:lsdException w:unhideWhenUsed="0" w:uiPriority="4294967295" w:semiHidden="0" w:name="annotation subject"/>
    <w:lsdException w:unhideWhenUsed="0" w:uiPriority="0" w:name="No List"/>
    <w:lsdException w:unhideWhenUsed="0" w:uiPriority="4294967295" w:semiHidden="0" w:name="Table Simple 1"/>
    <w:lsdException w:unhideWhenUsed="0" w:uiPriority="4294967295" w:semiHidden="0" w:name="Table Simple 2"/>
    <w:lsdException w:unhideWhenUsed="0" w:uiPriority="4294967295" w:semiHidden="0" w:name="Table Simple 3"/>
    <w:lsdException w:unhideWhenUsed="0" w:uiPriority="4294967295" w:semiHidden="0" w:name="Table Classic 1"/>
    <w:lsdException w:unhideWhenUsed="0" w:uiPriority="4294967295" w:semiHidden="0" w:name="Table Classic 2"/>
    <w:lsdException w:unhideWhenUsed="0" w:uiPriority="4294967295" w:semiHidden="0" w:name="Table Classic 3"/>
    <w:lsdException w:unhideWhenUsed="0" w:uiPriority="4294967295" w:semiHidden="0" w:name="Table Classic 4"/>
    <w:lsdException w:unhideWhenUsed="0" w:uiPriority="4294967295" w:semiHidden="0" w:name="Table Colorful 1"/>
    <w:lsdException w:unhideWhenUsed="0" w:uiPriority="4294967295" w:semiHidden="0" w:name="Table Colorful 2"/>
    <w:lsdException w:unhideWhenUsed="0" w:uiPriority="4294967295" w:semiHidden="0" w:name="Table Colorful 3"/>
    <w:lsdException w:unhideWhenUsed="0" w:uiPriority="4294967295" w:semiHidden="0" w:name="Table Columns 1"/>
    <w:lsdException w:unhideWhenUsed="0" w:uiPriority="4294967295" w:semiHidden="0" w:name="Table Columns 2"/>
    <w:lsdException w:unhideWhenUsed="0" w:uiPriority="4294967295" w:semiHidden="0" w:name="Table Columns 3"/>
    <w:lsdException w:unhideWhenUsed="0" w:uiPriority="4294967295" w:semiHidden="0" w:name="Table Columns 4"/>
    <w:lsdException w:unhideWhenUsed="0" w:uiPriority="4294967295" w:semiHidden="0" w:name="Table Columns 5"/>
    <w:lsdException w:unhideWhenUsed="0" w:uiPriority="4294967295" w:semiHidden="0" w:name="Table Grid 1"/>
    <w:lsdException w:unhideWhenUsed="0" w:uiPriority="4294967295" w:semiHidden="0" w:name="Table Grid 2"/>
    <w:lsdException w:unhideWhenUsed="0" w:uiPriority="4294967295" w:semiHidden="0" w:name="Table Grid 3"/>
    <w:lsdException w:unhideWhenUsed="0" w:uiPriority="4294967295" w:semiHidden="0" w:name="Table Grid 4"/>
    <w:lsdException w:unhideWhenUsed="0" w:uiPriority="4294967295" w:semiHidden="0" w:name="Table Grid 5"/>
    <w:lsdException w:unhideWhenUsed="0" w:uiPriority="4294967295" w:semiHidden="0" w:name="Table Grid 6"/>
    <w:lsdException w:unhideWhenUsed="0" w:uiPriority="4294967295" w:semiHidden="0" w:name="Table Grid 7"/>
    <w:lsdException w:unhideWhenUsed="0" w:uiPriority="4294967295" w:semiHidden="0" w:name="Table Grid 8"/>
    <w:lsdException w:unhideWhenUsed="0" w:uiPriority="4294967295" w:semiHidden="0" w:name="Table List 1"/>
    <w:lsdException w:unhideWhenUsed="0" w:uiPriority="4294967295" w:semiHidden="0" w:name="Table List 2"/>
    <w:lsdException w:unhideWhenUsed="0" w:uiPriority="4294967295" w:semiHidden="0" w:name="Table List 3"/>
    <w:lsdException w:unhideWhenUsed="0" w:uiPriority="4294967295" w:semiHidden="0" w:name="Table List 4"/>
    <w:lsdException w:unhideWhenUsed="0" w:uiPriority="4294967295" w:semiHidden="0" w:name="Table List 5"/>
    <w:lsdException w:unhideWhenUsed="0" w:uiPriority="4294967295" w:semiHidden="0" w:name="Table List 6"/>
    <w:lsdException w:unhideWhenUsed="0" w:uiPriority="4294967295" w:semiHidden="0" w:name="Table List 7"/>
    <w:lsdException w:unhideWhenUsed="0" w:uiPriority="4294967295" w:semiHidden="0" w:name="Table List 8"/>
    <w:lsdException w:unhideWhenUsed="0" w:uiPriority="4294967295" w:semiHidden="0" w:name="Table 3D effects 1"/>
    <w:lsdException w:unhideWhenUsed="0" w:uiPriority="4294967295" w:semiHidden="0" w:name="Table 3D effects 2"/>
    <w:lsdException w:unhideWhenUsed="0" w:uiPriority="4294967295" w:semiHidden="0" w:name="Table 3D effects 3"/>
    <w:lsdException w:unhideWhenUsed="0" w:uiPriority="4294967295" w:semiHidden="0" w:name="Table Contemporary"/>
    <w:lsdException w:unhideWhenUsed="0" w:uiPriority="4294967295" w:semiHidden="0" w:name="Table Elegant"/>
    <w:lsdException w:unhideWhenUsed="0" w:uiPriority="4294967295" w:semiHidden="0" w:name="Table Professional"/>
    <w:lsdException w:unhideWhenUsed="0" w:uiPriority="4294967295" w:semiHidden="0" w:name="Table Subtle 1"/>
    <w:lsdException w:unhideWhenUsed="0" w:uiPriority="4294967295" w:semiHidden="0" w:name="Table Subtle 2"/>
    <w:lsdException w:unhideWhenUsed="0" w:uiPriority="4294967295" w:semiHidden="0" w:name="Table Web 1"/>
    <w:lsdException w:unhideWhenUsed="0" w:uiPriority="4294967295" w:semiHidden="0" w:name="Table Web 2"/>
    <w:lsdException w:unhideWhenUsed="0" w:uiPriority="4294967295" w:semiHidden="0" w:name="Table Web 3"/>
    <w:lsdException w:unhideWhenUsed="0" w:uiPriority="4294967295" w:semiHidden="0" w:name="Balloon Text"/>
    <w:lsdException w:unhideWhenUsed="0" w:uiPriority="4294967295" w:semiHidden="0" w:name="Table Grid"/>
    <w:lsdException w:unhideWhenUsed="0" w:uiPriority="4294967295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3"/>
    <w:qFormat/>
    <w:uiPriority w:val="0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3">
    <w:name w:val="Default Paragraph Font"/>
    <w:link w:val="1"/>
    <w:semiHidden/>
    <w:qFormat/>
    <w:uiPriority w:val="0"/>
  </w:style>
  <w:style w:type="table" w:default="1" w:styleId="2">
    <w:name w:val="Normal Table"/>
    <w:uiPriority w:val="4294967295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default="1" w:styleId="5">
    <w:name w:val="No List"/>
    <w:semiHidden/>
    <w:uiPriority w:val="0"/>
    <w:rPr>
      <w:sz w:val="21"/>
      <w:szCs w:val="22"/>
    </w:rPr>
  </w:style>
  <w:style w:type="table" w:customStyle="1" w:styleId="4">
    <w:name w:val="Table Normal"/>
    <w:semiHidden/>
    <w:qFormat/>
    <w:uiPriority w:val="0"/>
    <w:tblPr>
      <w:tblCellMar>
        <w:top w:w="0" w:type="dxa"/>
        <w:left w:w="108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Aspose</Company>
  <Pages>8</Pages>
  <Words>2928</Words>
  <Characters>2954</Characters>
  <Lines>150</Lines>
  <Paragraphs>150</Paragraphs>
  <TotalTime>3</TotalTime>
  <ScaleCrop>false</ScaleCrop>
  <LinksUpToDate>false</LinksUpToDate>
  <CharactersWithSpaces>2983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2025-10-17T10:29:00Z</dcterms:created>
  <dc:creator>root</dc:creator>
  <cp:lastModifiedBy>Annabelle</cp:lastModifiedBy>
  <dcterms:modified xsi:type="dcterms:W3CDTF">2025-10-17T02:30:14Z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29692F9888014D5EADA1FEEE4D6E0491_13</vt:lpwstr>
  </property>
</Properties>
</file>