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2A0EC7">
      <w:pPr>
        <w:spacing w:line="520" w:lineRule="exact"/>
        <w:rPr>
          <w:rFonts w:eastAsia="黑体"/>
          <w:bCs/>
        </w:rPr>
      </w:pPr>
      <w:r>
        <w:rPr>
          <w:rFonts w:eastAsia="黑体"/>
          <w:bCs/>
        </w:rPr>
        <w:t>附件1：</w:t>
      </w:r>
    </w:p>
    <w:p w14:paraId="080E29AB">
      <w:pPr>
        <w:spacing w:line="520" w:lineRule="exact"/>
        <w:jc w:val="center"/>
        <w:rPr>
          <w:rFonts w:eastAsia="方正小标宋简体"/>
          <w:sz w:val="44"/>
          <w:szCs w:val="20"/>
        </w:rPr>
      </w:pPr>
      <w:bookmarkStart w:id="0" w:name="_GoBack"/>
      <w:r>
        <w:rPr>
          <w:rFonts w:eastAsia="方正小标宋简体"/>
          <w:sz w:val="44"/>
          <w:szCs w:val="20"/>
        </w:rPr>
        <w:t>福建省消防安全重点单位界定标准</w:t>
      </w:r>
    </w:p>
    <w:bookmarkEnd w:id="0"/>
    <w:p w14:paraId="387DFC3D">
      <w:pPr>
        <w:widowControl/>
        <w:spacing w:line="520" w:lineRule="exact"/>
        <w:ind w:firstLine="640" w:firstLineChars="200"/>
        <w:jc w:val="left"/>
        <w:rPr>
          <w:szCs w:val="32"/>
          <w:lang w:bidi="ar"/>
        </w:rPr>
      </w:pPr>
      <w:r>
        <w:rPr>
          <w:szCs w:val="32"/>
          <w:lang w:bidi="ar"/>
        </w:rPr>
        <w:t>消防安全重点单位，指发生火灾可能性较大或发生火灾可能造成重大的人身伤亡或者财产损失的单位。根据《中华人民共和国消防法》《福建省消防条例》《机关、团体、企业、事业单位消防安全管理规定》（公安部令第61号）和《国家消防救援局关于调整消防安全重点单位界定标准的通知》（消防〔2023〕23号），结合我省消防工作实际，下列场所的经营、管理单位和含有下列场所的物业单位，应界定为消防安全重点单位：</w:t>
      </w:r>
    </w:p>
    <w:p w14:paraId="4E4FA6DA">
      <w:pPr>
        <w:spacing w:line="520" w:lineRule="exact"/>
        <w:ind w:firstLine="640"/>
        <w:rPr>
          <w:rFonts w:eastAsia="黑体"/>
        </w:rPr>
      </w:pPr>
      <w:r>
        <w:rPr>
          <w:rFonts w:eastAsia="黑体"/>
        </w:rPr>
        <w:t>一、商场（市场）、宾馆（饭店）、体育场（馆）、会堂、公共娱乐场所等公众聚集场所</w:t>
      </w:r>
    </w:p>
    <w:p w14:paraId="492625D5">
      <w:pPr>
        <w:widowControl/>
        <w:spacing w:line="520" w:lineRule="exact"/>
        <w:ind w:firstLine="640" w:firstLineChars="200"/>
        <w:jc w:val="left"/>
        <w:rPr>
          <w:szCs w:val="32"/>
        </w:rPr>
      </w:pPr>
      <w:r>
        <w:rPr>
          <w:szCs w:val="32"/>
        </w:rPr>
        <w:t>（一）场所总建筑面积大于5000</w:t>
      </w:r>
      <w:r>
        <w:rPr>
          <w:rFonts w:eastAsia="Batang"/>
          <w:szCs w:val="32"/>
        </w:rPr>
        <w:t>㎡</w:t>
      </w:r>
      <w:r>
        <w:rPr>
          <w:szCs w:val="32"/>
        </w:rPr>
        <w:t>且经营可燃商品的商场（商店、市场），单体总建筑面积大于500</w:t>
      </w:r>
      <w:r>
        <w:rPr>
          <w:rFonts w:eastAsia="Batang"/>
          <w:szCs w:val="32"/>
        </w:rPr>
        <w:t>㎡</w:t>
      </w:r>
      <w:r>
        <w:rPr>
          <w:szCs w:val="32"/>
        </w:rPr>
        <w:t>且经营可燃商品的地下或者半地下商场（商店、市场）。</w:t>
      </w:r>
    </w:p>
    <w:p w14:paraId="2CE408D6">
      <w:pPr>
        <w:widowControl/>
        <w:spacing w:line="520" w:lineRule="exact"/>
        <w:ind w:firstLine="640" w:firstLineChars="200"/>
        <w:jc w:val="left"/>
        <w:rPr>
          <w:szCs w:val="32"/>
        </w:rPr>
      </w:pPr>
      <w:r>
        <w:rPr>
          <w:szCs w:val="32"/>
        </w:rPr>
        <w:t>（二）评定为三星级或达到三星级评定标准尚未评定等级的旅馆（含招待所、饭店、产后恢复人员居住场所），客房数100间以上的其他旅馆。</w:t>
      </w:r>
    </w:p>
    <w:p w14:paraId="416CB601">
      <w:pPr>
        <w:widowControl/>
        <w:spacing w:line="520" w:lineRule="exact"/>
        <w:ind w:firstLine="640" w:firstLineChars="200"/>
        <w:jc w:val="left"/>
        <w:rPr>
          <w:szCs w:val="32"/>
        </w:rPr>
      </w:pPr>
      <w:r>
        <w:rPr>
          <w:szCs w:val="32"/>
        </w:rPr>
        <w:t>（三）场所总建筑面积（含用餐区域、厨房区域和辅助区域）3000</w:t>
      </w:r>
      <w:r>
        <w:rPr>
          <w:rFonts w:eastAsia="Batang"/>
          <w:szCs w:val="32"/>
        </w:rPr>
        <w:t>㎡</w:t>
      </w:r>
      <w:r>
        <w:rPr>
          <w:szCs w:val="32"/>
        </w:rPr>
        <w:t>以上或座位数大于1000个，且不具有娱乐功能的餐饮场所。</w:t>
      </w:r>
    </w:p>
    <w:p w14:paraId="3FFC6E74">
      <w:pPr>
        <w:widowControl/>
        <w:spacing w:line="520" w:lineRule="exact"/>
        <w:ind w:firstLine="640" w:firstLineChars="200"/>
        <w:jc w:val="left"/>
        <w:rPr>
          <w:szCs w:val="32"/>
        </w:rPr>
      </w:pPr>
      <w:r>
        <w:rPr>
          <w:szCs w:val="32"/>
        </w:rPr>
        <w:t>（四）设计观众席数量3000座以上的公共体育馆，设计观众席数量20000座以上的公共体育场。</w:t>
      </w:r>
    </w:p>
    <w:p w14:paraId="43C4DDCE">
      <w:pPr>
        <w:widowControl/>
        <w:spacing w:line="520" w:lineRule="exact"/>
        <w:ind w:firstLine="640" w:firstLineChars="200"/>
        <w:jc w:val="left"/>
        <w:rPr>
          <w:szCs w:val="32"/>
        </w:rPr>
      </w:pPr>
      <w:r>
        <w:rPr>
          <w:szCs w:val="32"/>
        </w:rPr>
        <w:t>（五）设计观众席数量2000座以上的公共会堂。</w:t>
      </w:r>
    </w:p>
    <w:p w14:paraId="2E3A58A9">
      <w:pPr>
        <w:widowControl/>
        <w:spacing w:line="520" w:lineRule="exact"/>
        <w:ind w:firstLine="640" w:firstLineChars="200"/>
        <w:jc w:val="left"/>
        <w:rPr>
          <w:szCs w:val="32"/>
        </w:rPr>
      </w:pPr>
      <w:r>
        <w:rPr>
          <w:szCs w:val="32"/>
        </w:rPr>
        <w:t>（六）场所总建筑面积大于500</w:t>
      </w:r>
      <w:r>
        <w:rPr>
          <w:rFonts w:eastAsia="Batang"/>
          <w:szCs w:val="32"/>
        </w:rPr>
        <w:t>㎡</w:t>
      </w:r>
      <w:r>
        <w:rPr>
          <w:szCs w:val="32"/>
        </w:rPr>
        <w:t>的歌舞厅、录像厅、放映厅、卡拉ＯＫ厅、夜总会、游艺厅、桑拿浴室（含足浴）、酒吧、网吧、具有娱乐功能的餐馆、茶馆、咖啡厅。</w:t>
      </w:r>
    </w:p>
    <w:p w14:paraId="48E26680">
      <w:pPr>
        <w:widowControl/>
        <w:spacing w:line="520" w:lineRule="exact"/>
        <w:ind w:firstLine="640" w:firstLineChars="200"/>
        <w:jc w:val="left"/>
        <w:rPr>
          <w:szCs w:val="32"/>
        </w:rPr>
      </w:pPr>
      <w:r>
        <w:rPr>
          <w:szCs w:val="32"/>
        </w:rPr>
        <w:t>（七）场所总建筑面积大于2500</w:t>
      </w:r>
      <w:r>
        <w:rPr>
          <w:rFonts w:eastAsia="Batang"/>
          <w:szCs w:val="32"/>
        </w:rPr>
        <w:t>㎡</w:t>
      </w:r>
      <w:r>
        <w:rPr>
          <w:szCs w:val="32"/>
        </w:rPr>
        <w:t>或设计总座位数1200个以上的电影院和剧场。</w:t>
      </w:r>
    </w:p>
    <w:p w14:paraId="0F942E61">
      <w:pPr>
        <w:widowControl/>
        <w:spacing w:line="520" w:lineRule="exact"/>
        <w:ind w:firstLine="640" w:firstLineChars="200"/>
        <w:jc w:val="left"/>
        <w:rPr>
          <w:szCs w:val="32"/>
        </w:rPr>
      </w:pPr>
      <w:r>
        <w:rPr>
          <w:szCs w:val="32"/>
        </w:rPr>
        <w:t>（八）场所总建筑面积大于2500</w:t>
      </w:r>
      <w:r>
        <w:rPr>
          <w:rFonts w:eastAsia="Batang"/>
          <w:szCs w:val="32"/>
        </w:rPr>
        <w:t>㎡</w:t>
      </w:r>
      <w:r>
        <w:rPr>
          <w:szCs w:val="32"/>
        </w:rPr>
        <w:t>的保龄球馆、旱冰场、健身房、棋牌室等营业性休闲健身场所。</w:t>
      </w:r>
    </w:p>
    <w:p w14:paraId="1E3ED795">
      <w:pPr>
        <w:spacing w:line="520" w:lineRule="exact"/>
        <w:ind w:firstLine="640"/>
        <w:rPr>
          <w:rFonts w:eastAsia="黑体"/>
        </w:rPr>
      </w:pPr>
      <w:r>
        <w:rPr>
          <w:rFonts w:eastAsia="黑体"/>
        </w:rPr>
        <w:t>二、医院、养老院、福利院和学校、托儿所、幼儿园</w:t>
      </w:r>
    </w:p>
    <w:p w14:paraId="2D49D887">
      <w:pPr>
        <w:widowControl/>
        <w:spacing w:line="520" w:lineRule="exact"/>
        <w:ind w:firstLine="640" w:firstLineChars="200"/>
        <w:jc w:val="left"/>
        <w:rPr>
          <w:szCs w:val="32"/>
        </w:rPr>
      </w:pPr>
      <w:r>
        <w:rPr>
          <w:szCs w:val="32"/>
        </w:rPr>
        <w:t>（一）二级及以上的医院。</w:t>
      </w:r>
    </w:p>
    <w:p w14:paraId="5B5E9D5A">
      <w:pPr>
        <w:widowControl/>
        <w:spacing w:line="520" w:lineRule="exact"/>
        <w:ind w:firstLine="640" w:firstLineChars="200"/>
        <w:jc w:val="left"/>
        <w:rPr>
          <w:szCs w:val="32"/>
        </w:rPr>
      </w:pPr>
      <w:r>
        <w:rPr>
          <w:szCs w:val="32"/>
        </w:rPr>
        <w:t>（二）评定为五星级的养老服务机构，建筑面积1000</w:t>
      </w:r>
      <w:r>
        <w:rPr>
          <w:rFonts w:eastAsia="Batang"/>
          <w:szCs w:val="32"/>
        </w:rPr>
        <w:t>㎡</w:t>
      </w:r>
      <w:r>
        <w:rPr>
          <w:szCs w:val="32"/>
        </w:rPr>
        <w:t>以上的儿童福利机构。</w:t>
      </w:r>
    </w:p>
    <w:p w14:paraId="639F6A30">
      <w:pPr>
        <w:widowControl/>
        <w:spacing w:line="520" w:lineRule="exact"/>
        <w:ind w:firstLine="640" w:firstLineChars="200"/>
        <w:jc w:val="left"/>
        <w:rPr>
          <w:szCs w:val="32"/>
        </w:rPr>
      </w:pPr>
      <w:r>
        <w:rPr>
          <w:szCs w:val="32"/>
        </w:rPr>
        <w:t>（三）8个班及以上托儿所，9个班及以上的幼儿园。</w:t>
      </w:r>
    </w:p>
    <w:p w14:paraId="47EB90A6">
      <w:pPr>
        <w:widowControl/>
        <w:spacing w:line="520" w:lineRule="exact"/>
        <w:ind w:firstLine="640" w:firstLineChars="200"/>
        <w:jc w:val="left"/>
        <w:rPr>
          <w:szCs w:val="32"/>
        </w:rPr>
      </w:pPr>
      <w:r>
        <w:rPr>
          <w:szCs w:val="32"/>
        </w:rPr>
        <w:t>（四）省、市重点中小学；高等学校；设计总床位数150张以上的寄宿制中小学、中等职业技术学校。</w:t>
      </w:r>
    </w:p>
    <w:p w14:paraId="73EDE69C">
      <w:pPr>
        <w:spacing w:line="520" w:lineRule="exact"/>
        <w:ind w:firstLine="640"/>
        <w:rPr>
          <w:rFonts w:eastAsia="黑体"/>
        </w:rPr>
      </w:pPr>
      <w:r>
        <w:rPr>
          <w:rFonts w:eastAsia="黑体"/>
        </w:rPr>
        <w:t>三、国家机关</w:t>
      </w:r>
    </w:p>
    <w:p w14:paraId="537FDAE3">
      <w:pPr>
        <w:widowControl/>
        <w:spacing w:line="520" w:lineRule="exact"/>
        <w:ind w:firstLine="640" w:firstLineChars="200"/>
        <w:jc w:val="left"/>
        <w:rPr>
          <w:szCs w:val="32"/>
        </w:rPr>
      </w:pPr>
      <w:r>
        <w:rPr>
          <w:szCs w:val="32"/>
        </w:rPr>
        <w:t>负责县级以上的党委、人大、人民政府、政协、监察委、人民法院、人民检察院等国家机关办公场所的管理或服务部门。</w:t>
      </w:r>
    </w:p>
    <w:p w14:paraId="0F1B24C7">
      <w:pPr>
        <w:spacing w:line="520" w:lineRule="exact"/>
        <w:ind w:firstLine="640"/>
        <w:rPr>
          <w:rFonts w:eastAsia="黑体"/>
        </w:rPr>
      </w:pPr>
      <w:r>
        <w:rPr>
          <w:rFonts w:eastAsia="黑体"/>
        </w:rPr>
        <w:t>四、广播电台、电视台和邮政、通信枢纽</w:t>
      </w:r>
    </w:p>
    <w:p w14:paraId="76448106">
      <w:pPr>
        <w:widowControl/>
        <w:spacing w:line="520" w:lineRule="exact"/>
        <w:ind w:firstLine="640" w:firstLineChars="200"/>
        <w:jc w:val="left"/>
        <w:rPr>
          <w:szCs w:val="32"/>
        </w:rPr>
      </w:pPr>
      <w:r>
        <w:rPr>
          <w:szCs w:val="32"/>
        </w:rPr>
        <w:t>（一）县级以上广播电视台、传输网络中心。</w:t>
      </w:r>
    </w:p>
    <w:p w14:paraId="5C13E004">
      <w:pPr>
        <w:widowControl/>
        <w:spacing w:line="520" w:lineRule="exact"/>
        <w:ind w:firstLine="640" w:firstLineChars="200"/>
        <w:jc w:val="left"/>
        <w:rPr>
          <w:szCs w:val="32"/>
        </w:rPr>
      </w:pPr>
      <w:r>
        <w:rPr>
          <w:szCs w:val="32"/>
        </w:rPr>
        <w:t>（二）大区中心、省中心通信枢纽楼，本地网通信枢纽楼、互联网数据中心楼。</w:t>
      </w:r>
    </w:p>
    <w:p w14:paraId="5BDD770A">
      <w:pPr>
        <w:spacing w:line="520" w:lineRule="exact"/>
        <w:ind w:firstLine="640"/>
        <w:rPr>
          <w:rFonts w:eastAsia="黑体"/>
        </w:rPr>
      </w:pPr>
      <w:r>
        <w:rPr>
          <w:rFonts w:eastAsia="黑体"/>
        </w:rPr>
        <w:t>五、客运车站、码头、民用机场</w:t>
      </w:r>
    </w:p>
    <w:p w14:paraId="7F14F593">
      <w:pPr>
        <w:widowControl/>
        <w:spacing w:line="520" w:lineRule="exact"/>
        <w:ind w:firstLine="640" w:firstLineChars="200"/>
        <w:jc w:val="left"/>
        <w:rPr>
          <w:szCs w:val="32"/>
        </w:rPr>
      </w:pPr>
      <w:r>
        <w:rPr>
          <w:szCs w:val="32"/>
        </w:rPr>
        <w:t>（一）建筑设计规模二级以上的汽车客运站的候车厅。</w:t>
      </w:r>
    </w:p>
    <w:p w14:paraId="13019BF3">
      <w:pPr>
        <w:widowControl/>
        <w:spacing w:line="520" w:lineRule="exact"/>
        <w:ind w:firstLine="640" w:firstLineChars="200"/>
        <w:jc w:val="left"/>
        <w:rPr>
          <w:szCs w:val="32"/>
        </w:rPr>
      </w:pPr>
      <w:r>
        <w:rPr>
          <w:szCs w:val="32"/>
        </w:rPr>
        <w:t>（二）建筑设计规模二级以上港口客运站的候船厅。</w:t>
      </w:r>
    </w:p>
    <w:p w14:paraId="66263527">
      <w:pPr>
        <w:widowControl/>
        <w:spacing w:line="520" w:lineRule="exact"/>
        <w:ind w:firstLine="640" w:firstLineChars="200"/>
        <w:jc w:val="left"/>
        <w:rPr>
          <w:szCs w:val="32"/>
        </w:rPr>
      </w:pPr>
      <w:r>
        <w:rPr>
          <w:szCs w:val="32"/>
        </w:rPr>
        <w:t>（三）民用机场的航站楼。</w:t>
      </w:r>
    </w:p>
    <w:p w14:paraId="5911228C">
      <w:pPr>
        <w:spacing w:line="520" w:lineRule="exact"/>
        <w:ind w:firstLine="640"/>
        <w:rPr>
          <w:rFonts w:eastAsia="黑体"/>
        </w:rPr>
      </w:pPr>
      <w:r>
        <w:rPr>
          <w:rFonts w:eastAsia="黑体"/>
        </w:rPr>
        <w:t>六、公共图书馆、展览馆、博物馆、档案馆以及具有火灾危险性的文物保护单位</w:t>
      </w:r>
    </w:p>
    <w:p w14:paraId="4F23A804">
      <w:pPr>
        <w:widowControl/>
        <w:spacing w:line="520" w:lineRule="exact"/>
        <w:ind w:firstLine="640" w:firstLineChars="200"/>
        <w:jc w:val="left"/>
        <w:rPr>
          <w:szCs w:val="32"/>
        </w:rPr>
      </w:pPr>
      <w:r>
        <w:rPr>
          <w:szCs w:val="32"/>
        </w:rPr>
        <w:t>（一）场所总建筑面积大于4500</w:t>
      </w:r>
      <w:r>
        <w:rPr>
          <w:rFonts w:eastAsia="Batang"/>
          <w:szCs w:val="32"/>
        </w:rPr>
        <w:t>㎡</w:t>
      </w:r>
      <w:r>
        <w:rPr>
          <w:szCs w:val="32"/>
        </w:rPr>
        <w:t>的公共图书馆。</w:t>
      </w:r>
    </w:p>
    <w:p w14:paraId="4FE4357D">
      <w:pPr>
        <w:widowControl/>
        <w:spacing w:line="520" w:lineRule="exact"/>
        <w:ind w:firstLine="640" w:firstLineChars="200"/>
        <w:jc w:val="left"/>
        <w:rPr>
          <w:szCs w:val="32"/>
        </w:rPr>
      </w:pPr>
      <w:r>
        <w:rPr>
          <w:szCs w:val="32"/>
        </w:rPr>
        <w:t>（二）场所总建筑面积大于10000</w:t>
      </w:r>
      <w:r>
        <w:rPr>
          <w:rFonts w:eastAsia="Batang"/>
          <w:szCs w:val="32"/>
        </w:rPr>
        <w:t>㎡</w:t>
      </w:r>
      <w:r>
        <w:rPr>
          <w:szCs w:val="32"/>
        </w:rPr>
        <w:t>的公共展览馆。</w:t>
      </w:r>
    </w:p>
    <w:p w14:paraId="3B8994DD">
      <w:pPr>
        <w:widowControl/>
        <w:spacing w:line="520" w:lineRule="exact"/>
        <w:ind w:firstLine="640" w:firstLineChars="200"/>
        <w:jc w:val="left"/>
        <w:rPr>
          <w:szCs w:val="32"/>
        </w:rPr>
      </w:pPr>
      <w:r>
        <w:rPr>
          <w:szCs w:val="32"/>
        </w:rPr>
        <w:t>（三）评定为国家三级博物馆及以上等级的公共博物馆。</w:t>
      </w:r>
    </w:p>
    <w:p w14:paraId="68D75D93">
      <w:pPr>
        <w:widowControl/>
        <w:spacing w:line="520" w:lineRule="exact"/>
        <w:ind w:firstLine="640" w:firstLineChars="200"/>
        <w:jc w:val="left"/>
        <w:rPr>
          <w:szCs w:val="32"/>
        </w:rPr>
      </w:pPr>
      <w:r>
        <w:rPr>
          <w:szCs w:val="32"/>
        </w:rPr>
        <w:t>（四）县级以上档案馆。</w:t>
      </w:r>
    </w:p>
    <w:p w14:paraId="5E3A2398">
      <w:pPr>
        <w:widowControl/>
        <w:spacing w:line="520" w:lineRule="exact"/>
        <w:ind w:firstLine="640" w:firstLineChars="200"/>
        <w:jc w:val="left"/>
        <w:rPr>
          <w:szCs w:val="32"/>
        </w:rPr>
      </w:pPr>
      <w:r>
        <w:rPr>
          <w:szCs w:val="32"/>
        </w:rPr>
        <w:t>（五）具有火灾危险性的省级以上文物保护单位（构筑物除外）或其管理单位。</w:t>
      </w:r>
    </w:p>
    <w:p w14:paraId="4EC2C79F">
      <w:pPr>
        <w:spacing w:line="520" w:lineRule="exact"/>
        <w:ind w:firstLine="640"/>
        <w:rPr>
          <w:rFonts w:eastAsia="黑体"/>
        </w:rPr>
      </w:pPr>
      <w:r>
        <w:rPr>
          <w:rFonts w:eastAsia="黑体"/>
        </w:rPr>
        <w:t>七、发电厂（站）和电网经营企业</w:t>
      </w:r>
    </w:p>
    <w:p w14:paraId="5B44A5B1">
      <w:pPr>
        <w:widowControl/>
        <w:spacing w:line="520" w:lineRule="exact"/>
        <w:ind w:firstLine="640" w:firstLineChars="200"/>
        <w:jc w:val="left"/>
        <w:rPr>
          <w:szCs w:val="32"/>
        </w:rPr>
      </w:pPr>
      <w:r>
        <w:rPr>
          <w:szCs w:val="32"/>
        </w:rPr>
        <w:t>（一）大中型火力发电厂（站）。</w:t>
      </w:r>
    </w:p>
    <w:p w14:paraId="77419D07">
      <w:pPr>
        <w:widowControl/>
        <w:spacing w:line="520" w:lineRule="exact"/>
        <w:ind w:firstLine="640" w:firstLineChars="200"/>
        <w:jc w:val="left"/>
        <w:rPr>
          <w:szCs w:val="32"/>
        </w:rPr>
      </w:pPr>
      <w:r>
        <w:rPr>
          <w:szCs w:val="32"/>
        </w:rPr>
        <w:t>（二）功率为30MW且容量为30MW·h及以上的电化学能储能电站。</w:t>
      </w:r>
    </w:p>
    <w:p w14:paraId="62BCF665">
      <w:pPr>
        <w:widowControl/>
        <w:spacing w:line="520" w:lineRule="exact"/>
        <w:ind w:firstLine="640" w:firstLineChars="200"/>
        <w:jc w:val="left"/>
        <w:rPr>
          <w:szCs w:val="32"/>
        </w:rPr>
      </w:pPr>
      <w:r>
        <w:rPr>
          <w:szCs w:val="32"/>
        </w:rPr>
        <w:t>（三）县级以上供电公司。</w:t>
      </w:r>
    </w:p>
    <w:p w14:paraId="4AD5E82C">
      <w:pPr>
        <w:spacing w:line="520" w:lineRule="exact"/>
        <w:ind w:firstLine="640"/>
        <w:rPr>
          <w:rFonts w:eastAsia="黑体"/>
        </w:rPr>
      </w:pPr>
      <w:r>
        <w:rPr>
          <w:rFonts w:eastAsia="黑体"/>
        </w:rPr>
        <w:t>八、易燃易爆化学物品的生产、充装、储存、运输、供应、销售单位</w:t>
      </w:r>
    </w:p>
    <w:p w14:paraId="00403253">
      <w:pPr>
        <w:widowControl/>
        <w:spacing w:line="520" w:lineRule="exact"/>
        <w:ind w:firstLine="640" w:firstLineChars="200"/>
        <w:jc w:val="left"/>
        <w:rPr>
          <w:szCs w:val="32"/>
        </w:rPr>
      </w:pPr>
      <w:r>
        <w:rPr>
          <w:szCs w:val="32"/>
        </w:rPr>
        <w:t>（一）生产、储存、使用或者搬运易燃易爆危险化学品，且构成重大危险源的单位。</w:t>
      </w:r>
    </w:p>
    <w:p w14:paraId="33646DE8">
      <w:pPr>
        <w:widowControl/>
        <w:spacing w:line="520" w:lineRule="exact"/>
        <w:ind w:firstLine="640" w:firstLineChars="200"/>
        <w:jc w:val="left"/>
        <w:rPr>
          <w:szCs w:val="32"/>
        </w:rPr>
      </w:pPr>
      <w:r>
        <w:rPr>
          <w:szCs w:val="32"/>
        </w:rPr>
        <w:t>（二）Ⅱ类及以上规模的液化石油气瓶装供应站。</w:t>
      </w:r>
    </w:p>
    <w:p w14:paraId="664B0EA5">
      <w:pPr>
        <w:spacing w:line="520" w:lineRule="exact"/>
        <w:ind w:firstLine="640"/>
        <w:rPr>
          <w:rFonts w:eastAsia="黑体"/>
        </w:rPr>
      </w:pPr>
      <w:r>
        <w:rPr>
          <w:rFonts w:eastAsia="黑体"/>
        </w:rPr>
        <w:t>九、服装服装、鞋帽、玩具、木制品、家具、塑料、食品加工和纺织、印染、印刷等劳动密集型生产企业</w:t>
      </w:r>
    </w:p>
    <w:p w14:paraId="2A267916">
      <w:pPr>
        <w:widowControl/>
        <w:spacing w:line="520" w:lineRule="exact"/>
        <w:ind w:firstLine="640" w:firstLineChars="200"/>
        <w:jc w:val="left"/>
        <w:rPr>
          <w:szCs w:val="32"/>
        </w:rPr>
      </w:pPr>
      <w:r>
        <w:rPr>
          <w:szCs w:val="32"/>
        </w:rPr>
        <w:t>同一建筑生产区建筑总面积大于6000</w:t>
      </w:r>
      <w:r>
        <w:rPr>
          <w:rFonts w:eastAsia="Batang"/>
          <w:szCs w:val="32"/>
        </w:rPr>
        <w:t>㎡</w:t>
      </w:r>
      <w:r>
        <w:rPr>
          <w:szCs w:val="32"/>
        </w:rPr>
        <w:t>，且高峰作业时段员工人数超过200人的服装、鞋帽、玩具、木制品、家具、塑料、食品加工和纺织、印染、印刷等劳动密集型企业。</w:t>
      </w:r>
    </w:p>
    <w:p w14:paraId="13616B89">
      <w:pPr>
        <w:spacing w:line="520" w:lineRule="exact"/>
        <w:ind w:firstLine="640"/>
        <w:rPr>
          <w:rFonts w:eastAsia="黑体"/>
        </w:rPr>
      </w:pPr>
      <w:r>
        <w:rPr>
          <w:rFonts w:eastAsia="黑体"/>
        </w:rPr>
        <w:t>十、重要的科研单位</w:t>
      </w:r>
    </w:p>
    <w:p w14:paraId="0A1B8921">
      <w:pPr>
        <w:spacing w:line="520" w:lineRule="exact"/>
        <w:ind w:firstLine="640"/>
      </w:pPr>
      <w:r>
        <w:t>设有国家级重点实验室的科研单位。</w:t>
      </w:r>
    </w:p>
    <w:p w14:paraId="7EE3B7B6">
      <w:pPr>
        <w:spacing w:line="520" w:lineRule="exact"/>
        <w:ind w:firstLine="640"/>
        <w:rPr>
          <w:rFonts w:eastAsia="黑体"/>
        </w:rPr>
      </w:pPr>
      <w:r>
        <w:rPr>
          <w:rFonts w:eastAsia="黑体"/>
        </w:rPr>
        <w:t>十一、高层公共建筑、地下铁道、地下观光隧道，粮、棉、木材、百货等物资仓库、堆场和物流企业</w:t>
      </w:r>
    </w:p>
    <w:p w14:paraId="115DD677">
      <w:pPr>
        <w:widowControl/>
        <w:spacing w:line="520" w:lineRule="exact"/>
        <w:ind w:firstLine="640" w:firstLineChars="200"/>
        <w:jc w:val="left"/>
        <w:rPr>
          <w:szCs w:val="32"/>
        </w:rPr>
      </w:pPr>
      <w:r>
        <w:rPr>
          <w:szCs w:val="32"/>
        </w:rPr>
        <w:t>（一）一类高层公共建筑，建筑高度50米以上的非住宅类居住建筑的使用或管理单位。</w:t>
      </w:r>
    </w:p>
    <w:p w14:paraId="2C889C9A">
      <w:pPr>
        <w:widowControl/>
        <w:spacing w:line="520" w:lineRule="exact"/>
        <w:ind w:firstLine="640" w:firstLineChars="200"/>
        <w:jc w:val="left"/>
        <w:rPr>
          <w:szCs w:val="32"/>
        </w:rPr>
      </w:pPr>
      <w:r>
        <w:rPr>
          <w:szCs w:val="32"/>
        </w:rPr>
        <w:t>（二）地下轨道交通2条线及以上的换乘枢纽站点、基地和控制中心；地下观光隧道、海底隧道和城市重要的交通隧道。</w:t>
      </w:r>
    </w:p>
    <w:p w14:paraId="09E53B11">
      <w:pPr>
        <w:widowControl/>
        <w:spacing w:line="520" w:lineRule="exact"/>
        <w:ind w:firstLine="640" w:firstLineChars="200"/>
        <w:jc w:val="left"/>
        <w:rPr>
          <w:szCs w:val="32"/>
        </w:rPr>
      </w:pPr>
      <w:r>
        <w:rPr>
          <w:szCs w:val="32"/>
        </w:rPr>
        <w:t>（三）国家储备粮库或者设计总储量在10000t以上的其他粮库。</w:t>
      </w:r>
    </w:p>
    <w:p w14:paraId="0AD1C034">
      <w:pPr>
        <w:pStyle w:val="4"/>
        <w:widowControl/>
        <w:spacing w:line="520" w:lineRule="exact"/>
        <w:ind w:left="640" w:firstLine="0" w:firstLineChars="0"/>
        <w:jc w:val="left"/>
        <w:rPr>
          <w:rFonts w:eastAsia="仿宋_GB2312"/>
          <w:szCs w:val="32"/>
        </w:rPr>
      </w:pPr>
      <w:r>
        <w:rPr>
          <w:rFonts w:eastAsia="仿宋_GB2312"/>
          <w:szCs w:val="32"/>
        </w:rPr>
        <w:t>（四）设计总储量500t以上的棉库。</w:t>
      </w:r>
    </w:p>
    <w:p w14:paraId="4ADDCE18">
      <w:pPr>
        <w:pStyle w:val="4"/>
        <w:widowControl/>
        <w:spacing w:line="520" w:lineRule="exact"/>
        <w:ind w:left="640" w:firstLine="0" w:firstLineChars="0"/>
        <w:jc w:val="left"/>
        <w:rPr>
          <w:rFonts w:eastAsia="仿宋_GB2312"/>
          <w:szCs w:val="32"/>
        </w:rPr>
      </w:pPr>
      <w:r>
        <w:rPr>
          <w:rFonts w:eastAsia="仿宋_GB2312"/>
          <w:szCs w:val="32"/>
        </w:rPr>
        <w:t>（五）设计总储量10000m³以上的木材堆场。</w:t>
      </w:r>
    </w:p>
    <w:p w14:paraId="482516D4">
      <w:pPr>
        <w:widowControl/>
        <w:spacing w:line="520" w:lineRule="exact"/>
        <w:ind w:firstLine="640" w:firstLineChars="200"/>
        <w:jc w:val="left"/>
        <w:rPr>
          <w:szCs w:val="32"/>
        </w:rPr>
      </w:pPr>
      <w:r>
        <w:rPr>
          <w:szCs w:val="32"/>
        </w:rPr>
        <w:t>（六）存储型物流建筑大于2000</w:t>
      </w:r>
      <w:r>
        <w:rPr>
          <w:rFonts w:eastAsia="Batang"/>
          <w:szCs w:val="32"/>
        </w:rPr>
        <w:t>㎡</w:t>
      </w:r>
      <w:r>
        <w:rPr>
          <w:szCs w:val="32"/>
        </w:rPr>
        <w:t>或作业型、综合型物流建筑大于40000</w:t>
      </w:r>
      <w:r>
        <w:rPr>
          <w:rFonts w:eastAsia="Batang"/>
          <w:szCs w:val="32"/>
        </w:rPr>
        <w:t>㎡</w:t>
      </w:r>
      <w:r>
        <w:rPr>
          <w:szCs w:val="32"/>
        </w:rPr>
        <w:t>，以及物流建筑群大于2k</w:t>
      </w:r>
      <w:r>
        <w:rPr>
          <w:rFonts w:eastAsia="Batang"/>
          <w:szCs w:val="32"/>
        </w:rPr>
        <w:t>㎡</w:t>
      </w:r>
      <w:r>
        <w:rPr>
          <w:szCs w:val="32"/>
        </w:rPr>
        <w:t>的物流企业（园区）管理单位。</w:t>
      </w:r>
    </w:p>
    <w:p w14:paraId="431D91C0">
      <w:pPr>
        <w:spacing w:line="520" w:lineRule="exact"/>
        <w:ind w:firstLine="640"/>
        <w:rPr>
          <w:rFonts w:eastAsia="黑体"/>
        </w:rPr>
      </w:pPr>
      <w:r>
        <w:rPr>
          <w:rFonts w:eastAsia="黑体"/>
        </w:rPr>
        <w:t>十二、物业服务企业</w:t>
      </w:r>
    </w:p>
    <w:p w14:paraId="31709E0A">
      <w:pPr>
        <w:widowControl/>
        <w:spacing w:line="520" w:lineRule="exact"/>
        <w:ind w:firstLine="640" w:firstLineChars="200"/>
        <w:jc w:val="left"/>
        <w:rPr>
          <w:szCs w:val="32"/>
        </w:rPr>
      </w:pPr>
      <w:r>
        <w:rPr>
          <w:szCs w:val="32"/>
        </w:rPr>
        <w:t>管理区分所有权高层公共建筑、高度100米以上的高层住宅的物业服务企业。</w:t>
      </w:r>
    </w:p>
    <w:p w14:paraId="6F937ABA">
      <w:pPr>
        <w:spacing w:line="520" w:lineRule="exact"/>
        <w:ind w:firstLine="640"/>
        <w:rPr>
          <w:rFonts w:eastAsia="黑体"/>
        </w:rPr>
      </w:pPr>
      <w:r>
        <w:rPr>
          <w:rFonts w:eastAsia="黑体"/>
        </w:rPr>
        <w:t>十三、其他单位</w:t>
      </w:r>
    </w:p>
    <w:p w14:paraId="0A6BA344">
      <w:pPr>
        <w:widowControl/>
        <w:spacing w:line="520" w:lineRule="exact"/>
        <w:ind w:firstLine="640" w:firstLineChars="200"/>
        <w:jc w:val="left"/>
        <w:rPr>
          <w:szCs w:val="32"/>
        </w:rPr>
      </w:pPr>
      <w:r>
        <w:rPr>
          <w:szCs w:val="32"/>
        </w:rPr>
        <w:t>（一）规模以上电子、汽车、医药、造船、烟草、纺织、制革、造纸等工业企业。</w:t>
      </w:r>
    </w:p>
    <w:p w14:paraId="47A540A5">
      <w:pPr>
        <w:widowControl/>
        <w:spacing w:line="520" w:lineRule="exact"/>
        <w:ind w:firstLine="640" w:firstLineChars="200"/>
        <w:jc w:val="left"/>
        <w:rPr>
          <w:szCs w:val="32"/>
        </w:rPr>
      </w:pPr>
      <w:r>
        <w:rPr>
          <w:szCs w:val="32"/>
        </w:rPr>
        <w:t>（二）市级以上人民银行、商业银行，其他设有现金业务库、保管箱库的商业银行。</w:t>
      </w:r>
    </w:p>
    <w:p w14:paraId="2D6E2A1C">
      <w:pPr>
        <w:widowControl/>
        <w:spacing w:line="520" w:lineRule="exact"/>
        <w:ind w:firstLine="640" w:firstLineChars="200"/>
        <w:jc w:val="left"/>
        <w:rPr>
          <w:szCs w:val="32"/>
        </w:rPr>
      </w:pPr>
      <w:r>
        <w:rPr>
          <w:szCs w:val="32"/>
        </w:rPr>
        <w:t>（三）电子信息系统运行中断将造成重大经济损失或造成公共场所秩序严重混乱的数据中心。</w:t>
      </w:r>
    </w:p>
    <w:p w14:paraId="7F91A7F4">
      <w:pPr>
        <w:widowControl/>
        <w:spacing w:line="520" w:lineRule="exact"/>
        <w:ind w:firstLine="640" w:firstLineChars="200"/>
        <w:jc w:val="left"/>
        <w:rPr>
          <w:szCs w:val="32"/>
        </w:rPr>
      </w:pPr>
      <w:r>
        <w:rPr>
          <w:szCs w:val="32"/>
        </w:rPr>
        <w:t>（四）经特殊消防设计（性能化消防设计）的建筑。</w:t>
      </w:r>
    </w:p>
    <w:p w14:paraId="376F97E5">
      <w:pPr>
        <w:widowControl/>
        <w:spacing w:line="520" w:lineRule="exact"/>
        <w:ind w:firstLine="640" w:firstLineChars="200"/>
        <w:jc w:val="left"/>
        <w:rPr>
          <w:szCs w:val="32"/>
        </w:rPr>
      </w:pPr>
      <w:r>
        <w:rPr>
          <w:szCs w:val="32"/>
        </w:rPr>
        <w:t>（五）其他发生火灾可能导致重大人员伤亡或财产损失的其他场所。</w:t>
      </w:r>
    </w:p>
    <w:p w14:paraId="408D1E00">
      <w:pPr>
        <w:widowControl/>
        <w:spacing w:line="520" w:lineRule="exact"/>
        <w:ind w:firstLine="640" w:firstLineChars="200"/>
        <w:jc w:val="left"/>
        <w:rPr>
          <w:szCs w:val="32"/>
        </w:rPr>
      </w:pPr>
      <w:r>
        <w:rPr>
          <w:rFonts w:eastAsia="黑体"/>
        </w:rPr>
        <w:t>注：</w:t>
      </w:r>
      <w:r>
        <w:rPr>
          <w:szCs w:val="32"/>
        </w:rPr>
        <w:t>1.同一物业管理区域内多栋符合消防安全重点单位界定标准的建筑，产权分散且委托同一物业服务人统一管理的，应以物业服务人的名义申报。</w:t>
      </w:r>
    </w:p>
    <w:p w14:paraId="7B679874">
      <w:pPr>
        <w:widowControl/>
        <w:spacing w:line="520" w:lineRule="exact"/>
        <w:ind w:firstLine="640" w:firstLineChars="200"/>
        <w:jc w:val="left"/>
        <w:rPr>
          <w:szCs w:val="32"/>
        </w:rPr>
      </w:pPr>
      <w:r>
        <w:rPr>
          <w:szCs w:val="32"/>
        </w:rPr>
        <w:t>2.符合消防安全重点单位界定标准的建筑，内设单位符合消防安全重点单位界定标准且有明确经营、管理主体的，应当各自独立申报。</w:t>
      </w:r>
    </w:p>
    <w:p w14:paraId="43583D21">
      <w:pPr>
        <w:spacing w:line="520" w:lineRule="exact"/>
        <w:ind w:firstLine="640"/>
      </w:pPr>
    </w:p>
    <w:p w14:paraId="1E2BCD3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script"/>
    <w:pitch w:val="default"/>
    <w:sig w:usb0="00000000" w:usb1="00000000" w:usb2="00000000" w:usb3="00000000" w:csb0="00040000" w:csb1="00000000"/>
  </w:font>
  <w:font w:name="Batang">
    <w:altName w:val="Malgun Gothic"/>
    <w:panose1 w:val="02030600000101010101"/>
    <w:charset w:val="81"/>
    <w:family w:val="roman"/>
    <w:pitch w:val="default"/>
    <w:sig w:usb0="00000000" w:usb1="00000000" w:usb2="00000030" w:usb3="00000000" w:csb0="4008009F" w:csb1="DFD7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Malgun Gothic">
    <w:panose1 w:val="020B0503020000020004"/>
    <w:charset w:val="81"/>
    <w:family w:val="auto"/>
    <w:pitch w:val="default"/>
    <w:sig w:usb0="9000002F" w:usb1="29D77CFB" w:usb2="00000012" w:usb3="00000000" w:csb0="0008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FE1CA4"/>
    <w:rsid w:val="09FE1C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_Style 1"/>
    <w:basedOn w:val="1"/>
    <w:uiPriority w:val="0"/>
    <w:pPr>
      <w:ind w:firstLine="420" w:firstLineChars="200"/>
    </w:pPr>
    <w:rPr>
      <w:rFonts w:eastAsia="宋体"/>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2026-01-19T06:48:00Z</dcterms:created>
  <dc:creator>Annabelle</dc:creator>
  <cp:lastModifiedBy>Annabelle</cp:lastModifiedBy>
  <dcterms:modified xsi:type="dcterms:W3CDTF">2026-01-19T06:48:44Z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3D0318AB6F6F4AB2AD7E79CB27ABF8D2_11</vt:lpwstr>
  </property>
  <property fmtid="{D5CDD505-2E9C-101B-9397-08002B2CF9AE}" pid="4" name="KSOTemplateDocerSaveRecord">
    <vt:lpwstr>eyJoZGlkIjoiNTQ0YjA1MzcyNDA4NGUwZmM2ZjkwM2YwMTViMTRlMmQiLCJ1c2VySWQiOiIyNDY0MjM4MzIifQ==</vt:lpwstr>
  </property>
</Properties>
</file>